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2"/>
          <w:szCs w:val="32"/>
        </w:rPr>
      </w:pPr>
    </w:p>
    <w:p>
      <w:pPr>
        <w:pStyle w:val="2"/>
      </w:pPr>
    </w:p>
    <w:p>
      <w:pPr>
        <w:pStyle w:val="2"/>
      </w:pPr>
    </w:p>
    <w:p>
      <w:pPr>
        <w:pStyle w:val="2"/>
      </w:pPr>
    </w:p>
    <w:p>
      <w:pPr>
        <w:jc w:val="center"/>
        <w:rPr>
          <w:rFonts w:ascii="仿宋" w:hAnsi="仿宋" w:eastAsia="仿宋"/>
          <w:b/>
          <w:sz w:val="32"/>
          <w:szCs w:val="32"/>
        </w:rPr>
      </w:pPr>
    </w:p>
    <w:p>
      <w:pPr>
        <w:jc w:val="center"/>
        <w:rPr>
          <w:rFonts w:ascii="方正小标宋简体" w:hAnsi="方正小标宋简体" w:eastAsia="方正小标宋简体" w:cs="方正小标宋简体"/>
          <w:b/>
          <w:sz w:val="44"/>
          <w:szCs w:val="32"/>
        </w:rPr>
      </w:pPr>
      <w:r>
        <w:rPr>
          <w:rFonts w:hint="eastAsia" w:ascii="方正小标宋简体" w:hAnsi="方正小标宋简体" w:eastAsia="方正小标宋简体" w:cs="方正小标宋简体"/>
          <w:b/>
          <w:sz w:val="44"/>
          <w:szCs w:val="32"/>
        </w:rPr>
        <w:t>开封市</w:t>
      </w:r>
      <w:r>
        <w:rPr>
          <w:rFonts w:hint="eastAsia" w:ascii="仿宋" w:hAnsi="仿宋" w:eastAsia="仿宋" w:cs="方正小标宋简体"/>
          <w:b/>
          <w:sz w:val="44"/>
          <w:szCs w:val="32"/>
        </w:rPr>
        <w:t>“</w:t>
      </w:r>
      <w:r>
        <w:rPr>
          <w:rFonts w:hint="eastAsia" w:ascii="方正小标宋简体" w:hAnsi="方正小标宋简体" w:eastAsia="方正小标宋简体" w:cs="方正小标宋简体"/>
          <w:b/>
          <w:sz w:val="44"/>
          <w:szCs w:val="32"/>
        </w:rPr>
        <w:t>十四五</w:t>
      </w:r>
      <w:r>
        <w:rPr>
          <w:rFonts w:hint="eastAsia" w:ascii="仿宋" w:hAnsi="仿宋" w:eastAsia="仿宋" w:cs="方正小标宋简体"/>
          <w:b/>
          <w:sz w:val="44"/>
          <w:szCs w:val="32"/>
        </w:rPr>
        <w:t>”</w:t>
      </w:r>
      <w:r>
        <w:rPr>
          <w:rFonts w:hint="eastAsia" w:ascii="方正小标宋简体" w:hAnsi="方正小标宋简体" w:eastAsia="方正小标宋简体" w:cs="方正小标宋简体"/>
          <w:b/>
          <w:sz w:val="44"/>
          <w:szCs w:val="32"/>
        </w:rPr>
        <w:t>民政事业发展规划</w:t>
      </w:r>
    </w:p>
    <w:p>
      <w:pPr>
        <w:jc w:val="center"/>
        <w:rPr>
          <w:rFonts w:ascii="方正小标宋简体" w:hAnsi="方正小标宋简体" w:eastAsia="方正小标宋简体"/>
          <w:b/>
          <w:sz w:val="28"/>
          <w:szCs w:val="28"/>
        </w:rPr>
      </w:pPr>
      <w:r>
        <w:rPr>
          <w:rFonts w:hint="eastAsia" w:ascii="方正小标宋简体" w:hAnsi="方正小标宋简体" w:eastAsia="方正小标宋简体"/>
          <w:b/>
          <w:sz w:val="28"/>
          <w:szCs w:val="28"/>
        </w:rPr>
        <w:t>（</w:t>
      </w:r>
      <w:r>
        <w:rPr>
          <w:rFonts w:hint="eastAsia" w:ascii="方正小标宋简体" w:hAnsi="方正小标宋简体" w:eastAsia="方正小标宋简体"/>
          <w:b/>
          <w:sz w:val="28"/>
          <w:szCs w:val="28"/>
          <w:lang w:val="en-US" w:eastAsia="zh-CN"/>
        </w:rPr>
        <w:t>草案</w:t>
      </w:r>
      <w:r>
        <w:rPr>
          <w:rFonts w:hint="eastAsia" w:ascii="方正小标宋简体" w:hAnsi="方正小标宋简体" w:eastAsia="方正小标宋简体"/>
          <w:b/>
          <w:sz w:val="28"/>
          <w:szCs w:val="28"/>
        </w:rPr>
        <w:t>）</w:t>
      </w:r>
    </w:p>
    <w:p>
      <w:pPr>
        <w:jc w:val="center"/>
        <w:rPr>
          <w:rFonts w:ascii="仿宋" w:hAnsi="仿宋" w:eastAsia="仿宋"/>
          <w:sz w:val="28"/>
          <w:szCs w:val="28"/>
        </w:rPr>
      </w:pPr>
      <w:r>
        <w:rPr>
          <w:rFonts w:hint="eastAsia" w:ascii="仿宋" w:hAnsi="仿宋" w:eastAsia="仿宋"/>
          <w:sz w:val="28"/>
          <w:szCs w:val="28"/>
        </w:rPr>
        <w:t xml:space="preserve"> </w:t>
      </w:r>
    </w:p>
    <w:p>
      <w:pPr>
        <w:jc w:val="center"/>
        <w:rPr>
          <w:rFonts w:ascii="仿宋" w:hAnsi="仿宋" w:eastAsia="仿宋"/>
          <w:sz w:val="28"/>
          <w:szCs w:val="28"/>
        </w:rPr>
      </w:pPr>
      <w:r>
        <w:rPr>
          <w:rFonts w:hint="eastAsia" w:ascii="仿宋" w:hAnsi="仿宋" w:eastAsia="仿宋"/>
          <w:sz w:val="28"/>
          <w:szCs w:val="28"/>
        </w:rPr>
        <w:t xml:space="preserve"> </w:t>
      </w:r>
    </w:p>
    <w:p>
      <w:pPr>
        <w:jc w:val="center"/>
        <w:rPr>
          <w:rFonts w:ascii="仿宋" w:hAnsi="仿宋" w:eastAsia="仿宋"/>
          <w:b/>
          <w:sz w:val="28"/>
          <w:szCs w:val="28"/>
        </w:rPr>
      </w:pPr>
    </w:p>
    <w:p>
      <w:pPr>
        <w:jc w:val="center"/>
        <w:rPr>
          <w:rFonts w:ascii="仿宋" w:hAnsi="仿宋" w:eastAsia="仿宋"/>
          <w:b/>
          <w:sz w:val="28"/>
          <w:szCs w:val="28"/>
        </w:rPr>
      </w:pPr>
    </w:p>
    <w:p>
      <w:pPr>
        <w:jc w:val="center"/>
        <w:rPr>
          <w:rFonts w:ascii="仿宋" w:hAnsi="仿宋" w:eastAsia="仿宋"/>
          <w:b/>
          <w:sz w:val="28"/>
          <w:szCs w:val="28"/>
        </w:rPr>
      </w:pPr>
    </w:p>
    <w:p>
      <w:pPr>
        <w:jc w:val="center"/>
        <w:rPr>
          <w:rFonts w:ascii="仿宋" w:hAnsi="仿宋" w:eastAsia="仿宋"/>
          <w:b/>
          <w:sz w:val="28"/>
          <w:szCs w:val="28"/>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rPr>
          <w:rFonts w:ascii="仿宋" w:hAnsi="仿宋" w:eastAsia="仿宋"/>
          <w:b/>
          <w:sz w:val="32"/>
          <w:szCs w:val="32"/>
        </w:rPr>
      </w:pPr>
    </w:p>
    <w:p>
      <w:pPr>
        <w:jc w:val="center"/>
        <w:rPr>
          <w:rFonts w:eastAsia="楷体_GB2312"/>
          <w:bCs/>
          <w:kern w:val="44"/>
          <w:sz w:val="32"/>
          <w:szCs w:val="32"/>
        </w:rPr>
      </w:pPr>
      <w:r>
        <w:rPr>
          <w:rFonts w:hint="eastAsia" w:eastAsia="楷体_GB2312"/>
          <w:bCs/>
          <w:kern w:val="44"/>
          <w:sz w:val="32"/>
          <w:szCs w:val="32"/>
        </w:rPr>
        <w:t>开封市民政局</w:t>
      </w:r>
    </w:p>
    <w:p>
      <w:pPr>
        <w:jc w:val="center"/>
        <w:rPr>
          <w:rFonts w:eastAsia="楷体_GB2312"/>
          <w:bCs/>
          <w:kern w:val="44"/>
          <w:sz w:val="32"/>
          <w:szCs w:val="32"/>
        </w:rPr>
      </w:pPr>
      <w:r>
        <w:rPr>
          <w:rFonts w:hint="eastAsia" w:eastAsia="楷体_GB2312"/>
          <w:bCs/>
          <w:kern w:val="44"/>
          <w:sz w:val="32"/>
          <w:szCs w:val="32"/>
        </w:rPr>
        <w:t>2022年</w:t>
      </w:r>
      <w:r>
        <w:rPr>
          <w:rFonts w:hint="eastAsia" w:eastAsia="楷体_GB2312"/>
          <w:bCs/>
          <w:kern w:val="44"/>
          <w:sz w:val="32"/>
          <w:szCs w:val="32"/>
          <w:lang w:val="en-US" w:eastAsia="zh-CN"/>
        </w:rPr>
        <w:t>5</w:t>
      </w:r>
      <w:r>
        <w:rPr>
          <w:rFonts w:hint="eastAsia" w:eastAsia="楷体_GB2312"/>
          <w:bCs/>
          <w:kern w:val="44"/>
          <w:sz w:val="32"/>
          <w:szCs w:val="32"/>
        </w:rPr>
        <w:t>月</w:t>
      </w:r>
    </w:p>
    <w:p>
      <w:pPr>
        <w:widowControl/>
        <w:jc w:val="left"/>
        <w:rPr>
          <w:rFonts w:ascii="仿宋" w:hAnsi="仿宋" w:eastAsia="仿宋"/>
          <w:b/>
          <w:bCs/>
          <w:kern w:val="44"/>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upperRoman" w:start="1"/>
          <w:cols w:space="720" w:num="1"/>
          <w:titlePg/>
          <w:docGrid w:type="lines" w:linePitch="312" w:charSpace="0"/>
        </w:sectPr>
      </w:pPr>
    </w:p>
    <w:p>
      <w:pPr>
        <w:pStyle w:val="22"/>
        <w:tabs>
          <w:tab w:val="right" w:leader="dot" w:pos="8730"/>
        </w:tabs>
        <w:spacing w:line="360" w:lineRule="auto"/>
        <w:ind w:left="0" w:leftChars="0"/>
        <w:jc w:val="center"/>
        <w:rPr>
          <w:rFonts w:eastAsia="方正小标宋简体"/>
          <w:sz w:val="44"/>
          <w:szCs w:val="32"/>
        </w:rPr>
      </w:pPr>
      <w:r>
        <w:rPr>
          <w:rFonts w:eastAsia="方正小标宋简体"/>
          <w:sz w:val="44"/>
          <w:szCs w:val="32"/>
        </w:rPr>
        <w:t>目录</w:t>
      </w:r>
    </w:p>
    <w:p>
      <w:pPr>
        <w:pStyle w:val="19"/>
        <w:tabs>
          <w:tab w:val="right" w:leader="dot" w:pos="8306"/>
        </w:tabs>
        <w:spacing w:line="360" w:lineRule="auto"/>
        <w:rPr>
          <w:sz w:val="24"/>
          <w:szCs w:val="28"/>
        </w:rPr>
      </w:pPr>
      <w:r>
        <w:rPr>
          <w:rFonts w:ascii="仿宋" w:hAnsi="仿宋" w:eastAsia="仿宋"/>
          <w:sz w:val="40"/>
          <w:szCs w:val="40"/>
        </w:rPr>
        <w:fldChar w:fldCharType="begin"/>
      </w:r>
      <w:r>
        <w:rPr>
          <w:rFonts w:ascii="仿宋" w:hAnsi="仿宋" w:eastAsia="仿宋"/>
          <w:sz w:val="40"/>
          <w:szCs w:val="40"/>
        </w:rPr>
        <w:instrText xml:space="preserve"> TOC \o "1-3" \h \z \u </w:instrText>
      </w:r>
      <w:r>
        <w:rPr>
          <w:rFonts w:ascii="仿宋" w:hAnsi="仿宋" w:eastAsia="仿宋"/>
          <w:sz w:val="40"/>
          <w:szCs w:val="40"/>
        </w:rPr>
        <w:fldChar w:fldCharType="separate"/>
      </w:r>
      <w:r>
        <w:fldChar w:fldCharType="begin"/>
      </w:r>
      <w:r>
        <w:instrText xml:space="preserve"> HYPERLINK \l "_Toc13842" </w:instrText>
      </w:r>
      <w:r>
        <w:fldChar w:fldCharType="separate"/>
      </w:r>
      <w:r>
        <w:rPr>
          <w:rFonts w:hint="eastAsia" w:ascii="黑体" w:hAnsi="黑体" w:cs="黑体"/>
          <w:sz w:val="24"/>
          <w:szCs w:val="40"/>
        </w:rPr>
        <w:t>第一章 “十四五”民政事业规划基础与发展机遇</w:t>
      </w:r>
      <w:r>
        <w:rPr>
          <w:sz w:val="24"/>
          <w:szCs w:val="28"/>
        </w:rPr>
        <w:tab/>
      </w:r>
      <w:r>
        <w:rPr>
          <w:sz w:val="24"/>
          <w:szCs w:val="28"/>
        </w:rPr>
        <w:fldChar w:fldCharType="begin"/>
      </w:r>
      <w:r>
        <w:rPr>
          <w:sz w:val="24"/>
          <w:szCs w:val="28"/>
        </w:rPr>
        <w:instrText xml:space="preserve"> PAGEREF _Toc13842 \h </w:instrText>
      </w:r>
      <w:r>
        <w:rPr>
          <w:sz w:val="24"/>
          <w:szCs w:val="28"/>
        </w:rPr>
        <w:fldChar w:fldCharType="separate"/>
      </w:r>
      <w:r>
        <w:rPr>
          <w:sz w:val="24"/>
          <w:szCs w:val="28"/>
        </w:rPr>
        <w:t>5</w:t>
      </w:r>
      <w:r>
        <w:rPr>
          <w:sz w:val="24"/>
          <w:szCs w:val="28"/>
        </w:rPr>
        <w:fldChar w:fldCharType="end"/>
      </w:r>
      <w:r>
        <w:rPr>
          <w:sz w:val="24"/>
          <w:szCs w:val="28"/>
        </w:rPr>
        <w:fldChar w:fldCharType="end"/>
      </w:r>
    </w:p>
    <w:p>
      <w:pPr>
        <w:pStyle w:val="22"/>
        <w:tabs>
          <w:tab w:val="right" w:leader="dot" w:pos="8306"/>
        </w:tabs>
        <w:spacing w:line="360" w:lineRule="auto"/>
        <w:rPr>
          <w:sz w:val="24"/>
          <w:szCs w:val="28"/>
        </w:rPr>
      </w:pPr>
      <w:r>
        <w:fldChar w:fldCharType="begin"/>
      </w:r>
      <w:r>
        <w:instrText xml:space="preserve"> HYPERLINK \l "_Toc31386" </w:instrText>
      </w:r>
      <w:r>
        <w:fldChar w:fldCharType="separate"/>
      </w:r>
      <w:r>
        <w:rPr>
          <w:rFonts w:ascii="楷体" w:hAnsi="楷体" w:eastAsia="楷体"/>
          <w:sz w:val="24"/>
          <w:szCs w:val="40"/>
        </w:rPr>
        <w:t>第一节 “十三五”时期开封市民政事业发展成效</w:t>
      </w:r>
      <w:r>
        <w:rPr>
          <w:sz w:val="24"/>
          <w:szCs w:val="28"/>
        </w:rPr>
        <w:tab/>
      </w:r>
      <w:r>
        <w:rPr>
          <w:sz w:val="24"/>
          <w:szCs w:val="28"/>
        </w:rPr>
        <w:fldChar w:fldCharType="begin"/>
      </w:r>
      <w:r>
        <w:rPr>
          <w:sz w:val="24"/>
          <w:szCs w:val="28"/>
        </w:rPr>
        <w:instrText xml:space="preserve"> PAGEREF _Toc31386 \h </w:instrText>
      </w:r>
      <w:r>
        <w:rPr>
          <w:sz w:val="24"/>
          <w:szCs w:val="28"/>
        </w:rPr>
        <w:fldChar w:fldCharType="separate"/>
      </w:r>
      <w:r>
        <w:rPr>
          <w:sz w:val="24"/>
          <w:szCs w:val="28"/>
        </w:rPr>
        <w:t>5</w:t>
      </w:r>
      <w:r>
        <w:rPr>
          <w:sz w:val="24"/>
          <w:szCs w:val="28"/>
        </w:rPr>
        <w:fldChar w:fldCharType="end"/>
      </w:r>
      <w:r>
        <w:rPr>
          <w:sz w:val="24"/>
          <w:szCs w:val="28"/>
        </w:rPr>
        <w:fldChar w:fldCharType="end"/>
      </w:r>
    </w:p>
    <w:p>
      <w:pPr>
        <w:pStyle w:val="22"/>
        <w:tabs>
          <w:tab w:val="right" w:leader="dot" w:pos="8306"/>
        </w:tabs>
        <w:spacing w:line="360" w:lineRule="auto"/>
        <w:rPr>
          <w:sz w:val="24"/>
          <w:szCs w:val="28"/>
        </w:rPr>
      </w:pPr>
      <w:r>
        <w:fldChar w:fldCharType="begin"/>
      </w:r>
      <w:r>
        <w:instrText xml:space="preserve"> HYPERLINK \l "_Toc22942" </w:instrText>
      </w:r>
      <w:r>
        <w:fldChar w:fldCharType="separate"/>
      </w:r>
      <w:r>
        <w:rPr>
          <w:rFonts w:ascii="楷体" w:hAnsi="楷体" w:eastAsia="楷体"/>
          <w:sz w:val="24"/>
          <w:szCs w:val="40"/>
        </w:rPr>
        <w:t>第二节 “十四五”时期面临发展机遇与挑战</w:t>
      </w:r>
      <w:r>
        <w:rPr>
          <w:sz w:val="24"/>
          <w:szCs w:val="28"/>
        </w:rPr>
        <w:tab/>
      </w:r>
      <w:r>
        <w:rPr>
          <w:sz w:val="24"/>
          <w:szCs w:val="28"/>
        </w:rPr>
        <w:fldChar w:fldCharType="begin"/>
      </w:r>
      <w:r>
        <w:rPr>
          <w:sz w:val="24"/>
          <w:szCs w:val="28"/>
        </w:rPr>
        <w:instrText xml:space="preserve"> PAGEREF _Toc22942 \h </w:instrText>
      </w:r>
      <w:r>
        <w:rPr>
          <w:sz w:val="24"/>
          <w:szCs w:val="28"/>
        </w:rPr>
        <w:fldChar w:fldCharType="separate"/>
      </w:r>
      <w:r>
        <w:rPr>
          <w:sz w:val="24"/>
          <w:szCs w:val="28"/>
        </w:rPr>
        <w:t>8</w:t>
      </w:r>
      <w:r>
        <w:rPr>
          <w:sz w:val="24"/>
          <w:szCs w:val="28"/>
        </w:rPr>
        <w:fldChar w:fldCharType="end"/>
      </w:r>
      <w:r>
        <w:rPr>
          <w:sz w:val="24"/>
          <w:szCs w:val="28"/>
        </w:rPr>
        <w:fldChar w:fldCharType="end"/>
      </w:r>
    </w:p>
    <w:p>
      <w:pPr>
        <w:pStyle w:val="19"/>
        <w:tabs>
          <w:tab w:val="right" w:leader="dot" w:pos="8306"/>
        </w:tabs>
        <w:spacing w:line="360" w:lineRule="auto"/>
        <w:rPr>
          <w:sz w:val="24"/>
          <w:szCs w:val="28"/>
        </w:rPr>
      </w:pPr>
      <w:r>
        <w:fldChar w:fldCharType="begin"/>
      </w:r>
      <w:r>
        <w:instrText xml:space="preserve"> HYPERLINK \l "_Toc23978" </w:instrText>
      </w:r>
      <w:r>
        <w:fldChar w:fldCharType="separate"/>
      </w:r>
      <w:r>
        <w:rPr>
          <w:rFonts w:hint="eastAsia" w:ascii="黑体" w:hAnsi="黑体" w:cs="黑体"/>
          <w:sz w:val="24"/>
          <w:szCs w:val="40"/>
        </w:rPr>
        <w:t>第二章 “十四五”时期开封市民政事业发展总体要求</w:t>
      </w:r>
      <w:r>
        <w:rPr>
          <w:sz w:val="24"/>
          <w:szCs w:val="28"/>
        </w:rPr>
        <w:tab/>
      </w:r>
      <w:r>
        <w:rPr>
          <w:sz w:val="24"/>
          <w:szCs w:val="28"/>
        </w:rPr>
        <w:fldChar w:fldCharType="begin"/>
      </w:r>
      <w:r>
        <w:rPr>
          <w:sz w:val="24"/>
          <w:szCs w:val="28"/>
        </w:rPr>
        <w:instrText xml:space="preserve"> PAGEREF _Toc23978 \h </w:instrText>
      </w:r>
      <w:r>
        <w:rPr>
          <w:sz w:val="24"/>
          <w:szCs w:val="28"/>
        </w:rPr>
        <w:fldChar w:fldCharType="separate"/>
      </w:r>
      <w:r>
        <w:rPr>
          <w:sz w:val="24"/>
          <w:szCs w:val="28"/>
        </w:rPr>
        <w:t>13</w:t>
      </w:r>
      <w:r>
        <w:rPr>
          <w:sz w:val="24"/>
          <w:szCs w:val="28"/>
        </w:rPr>
        <w:fldChar w:fldCharType="end"/>
      </w:r>
      <w:r>
        <w:rPr>
          <w:sz w:val="24"/>
          <w:szCs w:val="28"/>
        </w:rPr>
        <w:fldChar w:fldCharType="end"/>
      </w:r>
    </w:p>
    <w:p>
      <w:pPr>
        <w:pStyle w:val="22"/>
        <w:tabs>
          <w:tab w:val="right" w:leader="dot" w:pos="8306"/>
        </w:tabs>
        <w:spacing w:line="360" w:lineRule="auto"/>
        <w:rPr>
          <w:sz w:val="24"/>
          <w:szCs w:val="28"/>
        </w:rPr>
      </w:pPr>
      <w:r>
        <w:fldChar w:fldCharType="begin"/>
      </w:r>
      <w:r>
        <w:instrText xml:space="preserve"> HYPERLINK \l "_Toc14700" </w:instrText>
      </w:r>
      <w:r>
        <w:fldChar w:fldCharType="separate"/>
      </w:r>
      <w:r>
        <w:rPr>
          <w:rFonts w:ascii="楷体" w:hAnsi="楷体" w:eastAsia="楷体"/>
          <w:sz w:val="24"/>
          <w:szCs w:val="40"/>
        </w:rPr>
        <w:t>第一节 总体思路</w:t>
      </w:r>
      <w:r>
        <w:rPr>
          <w:sz w:val="24"/>
          <w:szCs w:val="28"/>
        </w:rPr>
        <w:tab/>
      </w:r>
      <w:r>
        <w:rPr>
          <w:sz w:val="24"/>
          <w:szCs w:val="28"/>
        </w:rPr>
        <w:fldChar w:fldCharType="begin"/>
      </w:r>
      <w:r>
        <w:rPr>
          <w:sz w:val="24"/>
          <w:szCs w:val="28"/>
        </w:rPr>
        <w:instrText xml:space="preserve"> PAGEREF _Toc14700 \h </w:instrText>
      </w:r>
      <w:r>
        <w:rPr>
          <w:sz w:val="24"/>
          <w:szCs w:val="28"/>
        </w:rPr>
        <w:fldChar w:fldCharType="separate"/>
      </w:r>
      <w:r>
        <w:rPr>
          <w:sz w:val="24"/>
          <w:szCs w:val="28"/>
        </w:rPr>
        <w:t>13</w:t>
      </w:r>
      <w:r>
        <w:rPr>
          <w:sz w:val="24"/>
          <w:szCs w:val="28"/>
        </w:rPr>
        <w:fldChar w:fldCharType="end"/>
      </w:r>
      <w:r>
        <w:rPr>
          <w:sz w:val="24"/>
          <w:szCs w:val="28"/>
        </w:rPr>
        <w:fldChar w:fldCharType="end"/>
      </w:r>
    </w:p>
    <w:p>
      <w:pPr>
        <w:pStyle w:val="22"/>
        <w:tabs>
          <w:tab w:val="right" w:leader="dot" w:pos="8306"/>
        </w:tabs>
        <w:spacing w:line="360" w:lineRule="auto"/>
        <w:rPr>
          <w:sz w:val="24"/>
          <w:szCs w:val="28"/>
        </w:rPr>
      </w:pPr>
      <w:r>
        <w:fldChar w:fldCharType="begin"/>
      </w:r>
      <w:r>
        <w:instrText xml:space="preserve"> HYPERLINK \l "_Toc19687" </w:instrText>
      </w:r>
      <w:r>
        <w:fldChar w:fldCharType="separate"/>
      </w:r>
      <w:r>
        <w:rPr>
          <w:rFonts w:ascii="楷体" w:hAnsi="楷体" w:eastAsia="楷体"/>
          <w:sz w:val="24"/>
          <w:szCs w:val="40"/>
        </w:rPr>
        <w:t>第二节 发展目标</w:t>
      </w:r>
      <w:r>
        <w:rPr>
          <w:sz w:val="24"/>
          <w:szCs w:val="28"/>
        </w:rPr>
        <w:tab/>
      </w:r>
      <w:r>
        <w:rPr>
          <w:sz w:val="24"/>
          <w:szCs w:val="28"/>
        </w:rPr>
        <w:fldChar w:fldCharType="begin"/>
      </w:r>
      <w:r>
        <w:rPr>
          <w:sz w:val="24"/>
          <w:szCs w:val="28"/>
        </w:rPr>
        <w:instrText xml:space="preserve"> PAGEREF _Toc19687 \h </w:instrText>
      </w:r>
      <w:r>
        <w:rPr>
          <w:sz w:val="24"/>
          <w:szCs w:val="28"/>
        </w:rPr>
        <w:fldChar w:fldCharType="separate"/>
      </w:r>
      <w:r>
        <w:rPr>
          <w:sz w:val="24"/>
          <w:szCs w:val="28"/>
        </w:rPr>
        <w:t>15</w:t>
      </w:r>
      <w:r>
        <w:rPr>
          <w:sz w:val="24"/>
          <w:szCs w:val="28"/>
        </w:rPr>
        <w:fldChar w:fldCharType="end"/>
      </w:r>
      <w:r>
        <w:rPr>
          <w:sz w:val="24"/>
          <w:szCs w:val="28"/>
        </w:rPr>
        <w:fldChar w:fldCharType="end"/>
      </w:r>
    </w:p>
    <w:p>
      <w:pPr>
        <w:pStyle w:val="22"/>
        <w:tabs>
          <w:tab w:val="right" w:leader="dot" w:pos="8306"/>
        </w:tabs>
        <w:spacing w:line="360" w:lineRule="auto"/>
        <w:rPr>
          <w:sz w:val="24"/>
          <w:szCs w:val="28"/>
        </w:rPr>
      </w:pPr>
      <w:r>
        <w:fldChar w:fldCharType="begin"/>
      </w:r>
      <w:r>
        <w:instrText xml:space="preserve"> HYPERLINK \l "_Toc17121" </w:instrText>
      </w:r>
      <w:r>
        <w:fldChar w:fldCharType="separate"/>
      </w:r>
      <w:r>
        <w:rPr>
          <w:rFonts w:ascii="楷体" w:hAnsi="楷体" w:eastAsia="楷体"/>
          <w:sz w:val="24"/>
          <w:szCs w:val="40"/>
        </w:rPr>
        <w:t>第三节 规划定位</w:t>
      </w:r>
      <w:r>
        <w:rPr>
          <w:sz w:val="24"/>
          <w:szCs w:val="28"/>
        </w:rPr>
        <w:tab/>
      </w:r>
      <w:r>
        <w:rPr>
          <w:sz w:val="24"/>
          <w:szCs w:val="28"/>
        </w:rPr>
        <w:fldChar w:fldCharType="begin"/>
      </w:r>
      <w:r>
        <w:rPr>
          <w:sz w:val="24"/>
          <w:szCs w:val="28"/>
        </w:rPr>
        <w:instrText xml:space="preserve"> PAGEREF _Toc17121 \h </w:instrText>
      </w:r>
      <w:r>
        <w:rPr>
          <w:sz w:val="24"/>
          <w:szCs w:val="28"/>
        </w:rPr>
        <w:fldChar w:fldCharType="separate"/>
      </w:r>
      <w:r>
        <w:rPr>
          <w:sz w:val="24"/>
          <w:szCs w:val="28"/>
        </w:rPr>
        <w:t>19</w:t>
      </w:r>
      <w:r>
        <w:rPr>
          <w:sz w:val="24"/>
          <w:szCs w:val="28"/>
        </w:rPr>
        <w:fldChar w:fldCharType="end"/>
      </w:r>
      <w:r>
        <w:rPr>
          <w:sz w:val="24"/>
          <w:szCs w:val="28"/>
        </w:rPr>
        <w:fldChar w:fldCharType="end"/>
      </w:r>
    </w:p>
    <w:p>
      <w:pPr>
        <w:pStyle w:val="19"/>
        <w:tabs>
          <w:tab w:val="right" w:leader="dot" w:pos="8306"/>
        </w:tabs>
        <w:spacing w:line="360" w:lineRule="auto"/>
        <w:rPr>
          <w:sz w:val="24"/>
          <w:szCs w:val="28"/>
        </w:rPr>
      </w:pPr>
      <w:r>
        <w:fldChar w:fldCharType="begin"/>
      </w:r>
      <w:r>
        <w:instrText xml:space="preserve"> HYPERLINK \l "_Toc8608" </w:instrText>
      </w:r>
      <w:r>
        <w:fldChar w:fldCharType="separate"/>
      </w:r>
      <w:r>
        <w:rPr>
          <w:rFonts w:hint="eastAsia" w:ascii="黑体" w:hAnsi="黑体" w:cs="黑体"/>
          <w:sz w:val="24"/>
          <w:szCs w:val="40"/>
        </w:rPr>
        <w:t>第三章 树立开封养老服务新标杆</w:t>
      </w:r>
      <w:r>
        <w:rPr>
          <w:sz w:val="24"/>
          <w:szCs w:val="28"/>
        </w:rPr>
        <w:tab/>
      </w:r>
      <w:r>
        <w:rPr>
          <w:sz w:val="24"/>
          <w:szCs w:val="28"/>
        </w:rPr>
        <w:fldChar w:fldCharType="begin"/>
      </w:r>
      <w:r>
        <w:rPr>
          <w:sz w:val="24"/>
          <w:szCs w:val="28"/>
        </w:rPr>
        <w:instrText xml:space="preserve"> PAGEREF _Toc8608 \h </w:instrText>
      </w:r>
      <w:r>
        <w:rPr>
          <w:sz w:val="24"/>
          <w:szCs w:val="28"/>
        </w:rPr>
        <w:fldChar w:fldCharType="separate"/>
      </w:r>
      <w:r>
        <w:rPr>
          <w:sz w:val="24"/>
          <w:szCs w:val="28"/>
        </w:rPr>
        <w:t>21</w:t>
      </w:r>
      <w:r>
        <w:rPr>
          <w:sz w:val="24"/>
          <w:szCs w:val="28"/>
        </w:rPr>
        <w:fldChar w:fldCharType="end"/>
      </w:r>
      <w:r>
        <w:rPr>
          <w:sz w:val="24"/>
          <w:szCs w:val="28"/>
        </w:rPr>
        <w:fldChar w:fldCharType="end"/>
      </w:r>
    </w:p>
    <w:p>
      <w:pPr>
        <w:pStyle w:val="22"/>
        <w:tabs>
          <w:tab w:val="right" w:leader="dot" w:pos="8306"/>
        </w:tabs>
        <w:spacing w:line="360" w:lineRule="auto"/>
        <w:rPr>
          <w:sz w:val="24"/>
          <w:szCs w:val="28"/>
        </w:rPr>
      </w:pPr>
      <w:r>
        <w:fldChar w:fldCharType="begin"/>
      </w:r>
      <w:r>
        <w:instrText xml:space="preserve"> HYPERLINK \l "_Toc3468" </w:instrText>
      </w:r>
      <w:r>
        <w:fldChar w:fldCharType="separate"/>
      </w:r>
      <w:r>
        <w:rPr>
          <w:rFonts w:ascii="楷体" w:hAnsi="楷体" w:eastAsia="楷体"/>
          <w:sz w:val="24"/>
          <w:szCs w:val="40"/>
        </w:rPr>
        <w:t>第一节 扩大养老服务有效供给</w:t>
      </w:r>
      <w:r>
        <w:rPr>
          <w:sz w:val="24"/>
          <w:szCs w:val="28"/>
        </w:rPr>
        <w:tab/>
      </w:r>
      <w:r>
        <w:rPr>
          <w:sz w:val="24"/>
          <w:szCs w:val="28"/>
        </w:rPr>
        <w:fldChar w:fldCharType="begin"/>
      </w:r>
      <w:r>
        <w:rPr>
          <w:sz w:val="24"/>
          <w:szCs w:val="28"/>
        </w:rPr>
        <w:instrText xml:space="preserve"> PAGEREF _Toc3468 \h </w:instrText>
      </w:r>
      <w:r>
        <w:rPr>
          <w:sz w:val="24"/>
          <w:szCs w:val="28"/>
        </w:rPr>
        <w:fldChar w:fldCharType="separate"/>
      </w:r>
      <w:r>
        <w:rPr>
          <w:sz w:val="24"/>
          <w:szCs w:val="28"/>
        </w:rPr>
        <w:t>21</w:t>
      </w:r>
      <w:r>
        <w:rPr>
          <w:sz w:val="24"/>
          <w:szCs w:val="28"/>
        </w:rPr>
        <w:fldChar w:fldCharType="end"/>
      </w:r>
      <w:r>
        <w:rPr>
          <w:sz w:val="24"/>
          <w:szCs w:val="28"/>
        </w:rPr>
        <w:fldChar w:fldCharType="end"/>
      </w:r>
    </w:p>
    <w:p>
      <w:pPr>
        <w:pStyle w:val="22"/>
        <w:tabs>
          <w:tab w:val="right" w:leader="dot" w:pos="8306"/>
        </w:tabs>
        <w:spacing w:line="360" w:lineRule="auto"/>
        <w:rPr>
          <w:sz w:val="24"/>
          <w:szCs w:val="28"/>
        </w:rPr>
      </w:pPr>
      <w:r>
        <w:fldChar w:fldCharType="begin"/>
      </w:r>
      <w:r>
        <w:instrText xml:space="preserve"> HYPERLINK \l "_Toc4797" </w:instrText>
      </w:r>
      <w:r>
        <w:fldChar w:fldCharType="separate"/>
      </w:r>
      <w:r>
        <w:rPr>
          <w:rFonts w:ascii="楷体" w:hAnsi="楷体" w:eastAsia="楷体"/>
          <w:sz w:val="24"/>
          <w:szCs w:val="40"/>
        </w:rPr>
        <w:t>第二节 实施养老服务数智化改革</w:t>
      </w:r>
      <w:r>
        <w:rPr>
          <w:sz w:val="24"/>
          <w:szCs w:val="28"/>
        </w:rPr>
        <w:tab/>
      </w:r>
      <w:r>
        <w:rPr>
          <w:sz w:val="24"/>
          <w:szCs w:val="28"/>
        </w:rPr>
        <w:fldChar w:fldCharType="begin"/>
      </w:r>
      <w:r>
        <w:rPr>
          <w:sz w:val="24"/>
          <w:szCs w:val="28"/>
        </w:rPr>
        <w:instrText xml:space="preserve"> PAGEREF _Toc4797 \h </w:instrText>
      </w:r>
      <w:r>
        <w:rPr>
          <w:sz w:val="24"/>
          <w:szCs w:val="28"/>
        </w:rPr>
        <w:fldChar w:fldCharType="separate"/>
      </w:r>
      <w:r>
        <w:rPr>
          <w:sz w:val="24"/>
          <w:szCs w:val="28"/>
        </w:rPr>
        <w:t>23</w:t>
      </w:r>
      <w:r>
        <w:rPr>
          <w:sz w:val="24"/>
          <w:szCs w:val="28"/>
        </w:rPr>
        <w:fldChar w:fldCharType="end"/>
      </w:r>
      <w:r>
        <w:rPr>
          <w:sz w:val="24"/>
          <w:szCs w:val="28"/>
        </w:rPr>
        <w:fldChar w:fldCharType="end"/>
      </w:r>
    </w:p>
    <w:p>
      <w:pPr>
        <w:pStyle w:val="22"/>
        <w:tabs>
          <w:tab w:val="right" w:leader="dot" w:pos="8306"/>
        </w:tabs>
        <w:spacing w:line="360" w:lineRule="auto"/>
        <w:rPr>
          <w:sz w:val="24"/>
          <w:szCs w:val="28"/>
        </w:rPr>
      </w:pPr>
      <w:r>
        <w:fldChar w:fldCharType="begin"/>
      </w:r>
      <w:r>
        <w:instrText xml:space="preserve"> HYPERLINK \l "_Toc17408" </w:instrText>
      </w:r>
      <w:r>
        <w:fldChar w:fldCharType="separate"/>
      </w:r>
      <w:r>
        <w:rPr>
          <w:rFonts w:ascii="楷体" w:hAnsi="楷体" w:eastAsia="楷体"/>
          <w:sz w:val="24"/>
          <w:szCs w:val="40"/>
        </w:rPr>
        <w:t>第三节 实现养老人才增量提质</w:t>
      </w:r>
      <w:r>
        <w:rPr>
          <w:sz w:val="24"/>
          <w:szCs w:val="28"/>
        </w:rPr>
        <w:tab/>
      </w:r>
      <w:r>
        <w:rPr>
          <w:sz w:val="24"/>
          <w:szCs w:val="28"/>
        </w:rPr>
        <w:fldChar w:fldCharType="begin"/>
      </w:r>
      <w:r>
        <w:rPr>
          <w:sz w:val="24"/>
          <w:szCs w:val="28"/>
        </w:rPr>
        <w:instrText xml:space="preserve"> PAGEREF _Toc17408 \h </w:instrText>
      </w:r>
      <w:r>
        <w:rPr>
          <w:sz w:val="24"/>
          <w:szCs w:val="28"/>
        </w:rPr>
        <w:fldChar w:fldCharType="separate"/>
      </w:r>
      <w:r>
        <w:rPr>
          <w:sz w:val="24"/>
          <w:szCs w:val="28"/>
        </w:rPr>
        <w:t>24</w:t>
      </w:r>
      <w:r>
        <w:rPr>
          <w:sz w:val="24"/>
          <w:szCs w:val="28"/>
        </w:rPr>
        <w:fldChar w:fldCharType="end"/>
      </w:r>
      <w:r>
        <w:rPr>
          <w:sz w:val="24"/>
          <w:szCs w:val="28"/>
        </w:rPr>
        <w:fldChar w:fldCharType="end"/>
      </w:r>
    </w:p>
    <w:p>
      <w:pPr>
        <w:pStyle w:val="22"/>
        <w:tabs>
          <w:tab w:val="right" w:leader="dot" w:pos="8306"/>
        </w:tabs>
        <w:spacing w:line="360" w:lineRule="auto"/>
        <w:rPr>
          <w:sz w:val="24"/>
          <w:szCs w:val="28"/>
        </w:rPr>
      </w:pPr>
      <w:r>
        <w:fldChar w:fldCharType="begin"/>
      </w:r>
      <w:r>
        <w:instrText xml:space="preserve"> HYPERLINK \l "_Toc23202" </w:instrText>
      </w:r>
      <w:r>
        <w:fldChar w:fldCharType="separate"/>
      </w:r>
      <w:r>
        <w:rPr>
          <w:rFonts w:ascii="楷体" w:hAnsi="楷体" w:eastAsia="楷体"/>
          <w:sz w:val="24"/>
          <w:szCs w:val="40"/>
        </w:rPr>
        <w:t>第四节 推进养老产业加快发展</w:t>
      </w:r>
      <w:r>
        <w:rPr>
          <w:sz w:val="24"/>
          <w:szCs w:val="28"/>
        </w:rPr>
        <w:tab/>
      </w:r>
      <w:r>
        <w:rPr>
          <w:sz w:val="24"/>
          <w:szCs w:val="28"/>
        </w:rPr>
        <w:fldChar w:fldCharType="begin"/>
      </w:r>
      <w:r>
        <w:rPr>
          <w:sz w:val="24"/>
          <w:szCs w:val="28"/>
        </w:rPr>
        <w:instrText xml:space="preserve"> PAGEREF _Toc23202 \h </w:instrText>
      </w:r>
      <w:r>
        <w:rPr>
          <w:sz w:val="24"/>
          <w:szCs w:val="28"/>
        </w:rPr>
        <w:fldChar w:fldCharType="separate"/>
      </w:r>
      <w:r>
        <w:rPr>
          <w:sz w:val="24"/>
          <w:szCs w:val="28"/>
        </w:rPr>
        <w:t>26</w:t>
      </w:r>
      <w:r>
        <w:rPr>
          <w:sz w:val="24"/>
          <w:szCs w:val="28"/>
        </w:rPr>
        <w:fldChar w:fldCharType="end"/>
      </w:r>
      <w:r>
        <w:rPr>
          <w:sz w:val="24"/>
          <w:szCs w:val="28"/>
        </w:rPr>
        <w:fldChar w:fldCharType="end"/>
      </w:r>
    </w:p>
    <w:p>
      <w:pPr>
        <w:pStyle w:val="22"/>
        <w:tabs>
          <w:tab w:val="right" w:leader="dot" w:pos="8306"/>
        </w:tabs>
        <w:spacing w:line="360" w:lineRule="auto"/>
        <w:rPr>
          <w:sz w:val="24"/>
          <w:szCs w:val="28"/>
        </w:rPr>
      </w:pPr>
      <w:r>
        <w:fldChar w:fldCharType="begin"/>
      </w:r>
      <w:r>
        <w:instrText xml:space="preserve"> HYPERLINK \l "_Toc4264" </w:instrText>
      </w:r>
      <w:r>
        <w:fldChar w:fldCharType="separate"/>
      </w:r>
      <w:r>
        <w:rPr>
          <w:rFonts w:ascii="楷体" w:hAnsi="楷体" w:eastAsia="楷体"/>
          <w:sz w:val="24"/>
          <w:szCs w:val="40"/>
        </w:rPr>
        <w:t>第五节 健全养老服务综合监管制度</w:t>
      </w:r>
      <w:r>
        <w:rPr>
          <w:sz w:val="24"/>
          <w:szCs w:val="28"/>
        </w:rPr>
        <w:tab/>
      </w:r>
      <w:r>
        <w:rPr>
          <w:sz w:val="24"/>
          <w:szCs w:val="28"/>
        </w:rPr>
        <w:fldChar w:fldCharType="begin"/>
      </w:r>
      <w:r>
        <w:rPr>
          <w:sz w:val="24"/>
          <w:szCs w:val="28"/>
        </w:rPr>
        <w:instrText xml:space="preserve"> PAGEREF _Toc4264 \h </w:instrText>
      </w:r>
      <w:r>
        <w:rPr>
          <w:sz w:val="24"/>
          <w:szCs w:val="28"/>
        </w:rPr>
        <w:fldChar w:fldCharType="separate"/>
      </w:r>
      <w:r>
        <w:rPr>
          <w:sz w:val="24"/>
          <w:szCs w:val="28"/>
        </w:rPr>
        <w:t>27</w:t>
      </w:r>
      <w:r>
        <w:rPr>
          <w:sz w:val="24"/>
          <w:szCs w:val="28"/>
        </w:rPr>
        <w:fldChar w:fldCharType="end"/>
      </w:r>
      <w:r>
        <w:rPr>
          <w:sz w:val="24"/>
          <w:szCs w:val="28"/>
        </w:rPr>
        <w:fldChar w:fldCharType="end"/>
      </w:r>
    </w:p>
    <w:p>
      <w:pPr>
        <w:pStyle w:val="22"/>
        <w:tabs>
          <w:tab w:val="right" w:leader="dot" w:pos="8306"/>
        </w:tabs>
        <w:spacing w:line="360" w:lineRule="auto"/>
        <w:rPr>
          <w:sz w:val="24"/>
          <w:szCs w:val="28"/>
        </w:rPr>
      </w:pPr>
      <w:r>
        <w:fldChar w:fldCharType="begin"/>
      </w:r>
      <w:r>
        <w:instrText xml:space="preserve"> HYPERLINK \l "_Toc21830" </w:instrText>
      </w:r>
      <w:r>
        <w:fldChar w:fldCharType="separate"/>
      </w:r>
      <w:r>
        <w:rPr>
          <w:rFonts w:ascii="楷体" w:hAnsi="楷体" w:eastAsia="楷体"/>
          <w:sz w:val="24"/>
          <w:szCs w:val="40"/>
        </w:rPr>
        <w:t>第六节 强化养老服务制度保障</w:t>
      </w:r>
      <w:r>
        <w:rPr>
          <w:sz w:val="24"/>
          <w:szCs w:val="28"/>
        </w:rPr>
        <w:tab/>
      </w:r>
      <w:r>
        <w:rPr>
          <w:sz w:val="24"/>
          <w:szCs w:val="28"/>
        </w:rPr>
        <w:fldChar w:fldCharType="begin"/>
      </w:r>
      <w:r>
        <w:rPr>
          <w:sz w:val="24"/>
          <w:szCs w:val="28"/>
        </w:rPr>
        <w:instrText xml:space="preserve"> PAGEREF _Toc21830 \h </w:instrText>
      </w:r>
      <w:r>
        <w:rPr>
          <w:sz w:val="24"/>
          <w:szCs w:val="28"/>
        </w:rPr>
        <w:fldChar w:fldCharType="separate"/>
      </w:r>
      <w:r>
        <w:rPr>
          <w:sz w:val="24"/>
          <w:szCs w:val="28"/>
        </w:rPr>
        <w:t>28</w:t>
      </w:r>
      <w:r>
        <w:rPr>
          <w:sz w:val="24"/>
          <w:szCs w:val="28"/>
        </w:rPr>
        <w:fldChar w:fldCharType="end"/>
      </w:r>
      <w:r>
        <w:rPr>
          <w:sz w:val="24"/>
          <w:szCs w:val="28"/>
        </w:rPr>
        <w:fldChar w:fldCharType="end"/>
      </w:r>
    </w:p>
    <w:p>
      <w:pPr>
        <w:pStyle w:val="19"/>
        <w:tabs>
          <w:tab w:val="right" w:leader="dot" w:pos="8306"/>
        </w:tabs>
        <w:spacing w:line="360" w:lineRule="auto"/>
        <w:rPr>
          <w:sz w:val="24"/>
          <w:szCs w:val="28"/>
        </w:rPr>
      </w:pPr>
      <w:r>
        <w:fldChar w:fldCharType="begin"/>
      </w:r>
      <w:r>
        <w:instrText xml:space="preserve"> HYPERLINK \l "_Toc5641" </w:instrText>
      </w:r>
      <w:r>
        <w:fldChar w:fldCharType="separate"/>
      </w:r>
      <w:r>
        <w:rPr>
          <w:rFonts w:hint="eastAsia" w:ascii="黑体" w:hAnsi="黑体" w:cs="黑体"/>
          <w:sz w:val="24"/>
          <w:szCs w:val="40"/>
        </w:rPr>
        <w:t>第四章 织密扎牢民生保障安全网</w:t>
      </w:r>
      <w:r>
        <w:rPr>
          <w:sz w:val="24"/>
          <w:szCs w:val="28"/>
        </w:rPr>
        <w:tab/>
      </w:r>
      <w:r>
        <w:rPr>
          <w:sz w:val="24"/>
          <w:szCs w:val="28"/>
        </w:rPr>
        <w:fldChar w:fldCharType="begin"/>
      </w:r>
      <w:r>
        <w:rPr>
          <w:sz w:val="24"/>
          <w:szCs w:val="28"/>
        </w:rPr>
        <w:instrText xml:space="preserve"> PAGEREF _Toc5641 \h </w:instrText>
      </w:r>
      <w:r>
        <w:rPr>
          <w:sz w:val="24"/>
          <w:szCs w:val="28"/>
        </w:rPr>
        <w:fldChar w:fldCharType="separate"/>
      </w:r>
      <w:r>
        <w:rPr>
          <w:sz w:val="24"/>
          <w:szCs w:val="28"/>
        </w:rPr>
        <w:t>30</w:t>
      </w:r>
      <w:r>
        <w:rPr>
          <w:sz w:val="24"/>
          <w:szCs w:val="28"/>
        </w:rPr>
        <w:fldChar w:fldCharType="end"/>
      </w:r>
      <w:r>
        <w:rPr>
          <w:sz w:val="24"/>
          <w:szCs w:val="28"/>
        </w:rPr>
        <w:fldChar w:fldCharType="end"/>
      </w:r>
    </w:p>
    <w:p>
      <w:pPr>
        <w:pStyle w:val="22"/>
        <w:tabs>
          <w:tab w:val="right" w:leader="dot" w:pos="8306"/>
        </w:tabs>
        <w:spacing w:line="360" w:lineRule="auto"/>
        <w:rPr>
          <w:sz w:val="24"/>
          <w:szCs w:val="28"/>
        </w:rPr>
      </w:pPr>
      <w:r>
        <w:fldChar w:fldCharType="begin"/>
      </w:r>
      <w:r>
        <w:instrText xml:space="preserve"> HYPERLINK \l "_Toc8153" </w:instrText>
      </w:r>
      <w:r>
        <w:fldChar w:fldCharType="separate"/>
      </w:r>
      <w:r>
        <w:rPr>
          <w:rFonts w:ascii="楷体" w:hAnsi="楷体" w:eastAsia="楷体"/>
          <w:sz w:val="24"/>
          <w:szCs w:val="40"/>
        </w:rPr>
        <w:t>第一节 巩固拓展脱贫攻坚兜底保障成果</w:t>
      </w:r>
      <w:r>
        <w:rPr>
          <w:sz w:val="24"/>
          <w:szCs w:val="28"/>
        </w:rPr>
        <w:tab/>
      </w:r>
      <w:r>
        <w:rPr>
          <w:sz w:val="24"/>
          <w:szCs w:val="28"/>
        </w:rPr>
        <w:fldChar w:fldCharType="begin"/>
      </w:r>
      <w:r>
        <w:rPr>
          <w:sz w:val="24"/>
          <w:szCs w:val="28"/>
        </w:rPr>
        <w:instrText xml:space="preserve"> PAGEREF _Toc8153 \h </w:instrText>
      </w:r>
      <w:r>
        <w:rPr>
          <w:sz w:val="24"/>
          <w:szCs w:val="28"/>
        </w:rPr>
        <w:fldChar w:fldCharType="separate"/>
      </w:r>
      <w:r>
        <w:rPr>
          <w:sz w:val="24"/>
          <w:szCs w:val="28"/>
        </w:rPr>
        <w:t>30</w:t>
      </w:r>
      <w:r>
        <w:rPr>
          <w:sz w:val="24"/>
          <w:szCs w:val="28"/>
        </w:rPr>
        <w:fldChar w:fldCharType="end"/>
      </w:r>
      <w:r>
        <w:rPr>
          <w:sz w:val="24"/>
          <w:szCs w:val="28"/>
        </w:rPr>
        <w:fldChar w:fldCharType="end"/>
      </w:r>
    </w:p>
    <w:p>
      <w:pPr>
        <w:pStyle w:val="22"/>
        <w:tabs>
          <w:tab w:val="right" w:leader="dot" w:pos="8306"/>
        </w:tabs>
        <w:spacing w:line="360" w:lineRule="auto"/>
        <w:rPr>
          <w:sz w:val="24"/>
          <w:szCs w:val="28"/>
        </w:rPr>
      </w:pPr>
      <w:r>
        <w:fldChar w:fldCharType="begin"/>
      </w:r>
      <w:r>
        <w:instrText xml:space="preserve"> HYPERLINK \l "_Toc30288" </w:instrText>
      </w:r>
      <w:r>
        <w:fldChar w:fldCharType="separate"/>
      </w:r>
      <w:r>
        <w:rPr>
          <w:rFonts w:ascii="楷体" w:hAnsi="楷体" w:eastAsia="楷体"/>
          <w:sz w:val="24"/>
          <w:szCs w:val="40"/>
        </w:rPr>
        <w:t>第二节 建立健全分层分类的社会救助体系</w:t>
      </w:r>
      <w:r>
        <w:rPr>
          <w:sz w:val="24"/>
          <w:szCs w:val="28"/>
        </w:rPr>
        <w:tab/>
      </w:r>
      <w:r>
        <w:rPr>
          <w:sz w:val="24"/>
          <w:szCs w:val="28"/>
        </w:rPr>
        <w:fldChar w:fldCharType="begin"/>
      </w:r>
      <w:r>
        <w:rPr>
          <w:sz w:val="24"/>
          <w:szCs w:val="28"/>
        </w:rPr>
        <w:instrText xml:space="preserve"> PAGEREF _Toc30288 \h </w:instrText>
      </w:r>
      <w:r>
        <w:rPr>
          <w:sz w:val="24"/>
          <w:szCs w:val="28"/>
        </w:rPr>
        <w:fldChar w:fldCharType="separate"/>
      </w:r>
      <w:r>
        <w:rPr>
          <w:sz w:val="24"/>
          <w:szCs w:val="28"/>
        </w:rPr>
        <w:t>31</w:t>
      </w:r>
      <w:r>
        <w:rPr>
          <w:sz w:val="24"/>
          <w:szCs w:val="28"/>
        </w:rPr>
        <w:fldChar w:fldCharType="end"/>
      </w:r>
      <w:r>
        <w:rPr>
          <w:sz w:val="24"/>
          <w:szCs w:val="28"/>
        </w:rPr>
        <w:fldChar w:fldCharType="end"/>
      </w:r>
    </w:p>
    <w:p>
      <w:pPr>
        <w:pStyle w:val="22"/>
        <w:tabs>
          <w:tab w:val="right" w:leader="dot" w:pos="8306"/>
        </w:tabs>
        <w:spacing w:line="360" w:lineRule="auto"/>
        <w:rPr>
          <w:sz w:val="24"/>
          <w:szCs w:val="28"/>
        </w:rPr>
      </w:pPr>
      <w:r>
        <w:fldChar w:fldCharType="begin"/>
      </w:r>
      <w:r>
        <w:instrText xml:space="preserve"> HYPERLINK \l "_Toc20135" </w:instrText>
      </w:r>
      <w:r>
        <w:fldChar w:fldCharType="separate"/>
      </w:r>
      <w:r>
        <w:rPr>
          <w:rFonts w:ascii="楷体" w:hAnsi="楷体" w:eastAsia="楷体"/>
          <w:sz w:val="24"/>
          <w:szCs w:val="40"/>
        </w:rPr>
        <w:t>第三节 加强残疾人福利保障</w:t>
      </w:r>
      <w:r>
        <w:rPr>
          <w:sz w:val="24"/>
          <w:szCs w:val="28"/>
        </w:rPr>
        <w:tab/>
      </w:r>
      <w:r>
        <w:rPr>
          <w:sz w:val="24"/>
          <w:szCs w:val="28"/>
        </w:rPr>
        <w:fldChar w:fldCharType="begin"/>
      </w:r>
      <w:r>
        <w:rPr>
          <w:sz w:val="24"/>
          <w:szCs w:val="28"/>
        </w:rPr>
        <w:instrText xml:space="preserve"> PAGEREF _Toc20135 \h </w:instrText>
      </w:r>
      <w:r>
        <w:rPr>
          <w:sz w:val="24"/>
          <w:szCs w:val="28"/>
        </w:rPr>
        <w:fldChar w:fldCharType="separate"/>
      </w:r>
      <w:r>
        <w:rPr>
          <w:sz w:val="24"/>
          <w:szCs w:val="28"/>
        </w:rPr>
        <w:t>34</w:t>
      </w:r>
      <w:r>
        <w:rPr>
          <w:sz w:val="24"/>
          <w:szCs w:val="28"/>
        </w:rPr>
        <w:fldChar w:fldCharType="end"/>
      </w:r>
      <w:r>
        <w:rPr>
          <w:sz w:val="24"/>
          <w:szCs w:val="28"/>
        </w:rPr>
        <w:fldChar w:fldCharType="end"/>
      </w:r>
    </w:p>
    <w:p>
      <w:pPr>
        <w:pStyle w:val="19"/>
        <w:tabs>
          <w:tab w:val="right" w:leader="dot" w:pos="8306"/>
        </w:tabs>
        <w:spacing w:line="360" w:lineRule="auto"/>
        <w:rPr>
          <w:sz w:val="24"/>
          <w:szCs w:val="28"/>
        </w:rPr>
      </w:pPr>
      <w:r>
        <w:fldChar w:fldCharType="begin"/>
      </w:r>
      <w:r>
        <w:instrText xml:space="preserve"> HYPERLINK \l "_Toc19489" </w:instrText>
      </w:r>
      <w:r>
        <w:fldChar w:fldCharType="separate"/>
      </w:r>
      <w:r>
        <w:rPr>
          <w:rFonts w:hint="eastAsia" w:ascii="黑体" w:hAnsi="黑体" w:cs="黑体"/>
          <w:sz w:val="24"/>
          <w:szCs w:val="40"/>
        </w:rPr>
        <w:t>第五章 创新基层社会共建共治共享治理模式</w:t>
      </w:r>
      <w:r>
        <w:rPr>
          <w:sz w:val="24"/>
          <w:szCs w:val="28"/>
        </w:rPr>
        <w:tab/>
      </w:r>
      <w:r>
        <w:rPr>
          <w:sz w:val="24"/>
          <w:szCs w:val="28"/>
        </w:rPr>
        <w:fldChar w:fldCharType="begin"/>
      </w:r>
      <w:r>
        <w:rPr>
          <w:sz w:val="24"/>
          <w:szCs w:val="28"/>
        </w:rPr>
        <w:instrText xml:space="preserve"> PAGEREF _Toc19489 \h </w:instrText>
      </w:r>
      <w:r>
        <w:rPr>
          <w:sz w:val="24"/>
          <w:szCs w:val="28"/>
        </w:rPr>
        <w:fldChar w:fldCharType="separate"/>
      </w:r>
      <w:r>
        <w:rPr>
          <w:sz w:val="24"/>
          <w:szCs w:val="28"/>
        </w:rPr>
        <w:t>36</w:t>
      </w:r>
      <w:r>
        <w:rPr>
          <w:sz w:val="24"/>
          <w:szCs w:val="28"/>
        </w:rPr>
        <w:fldChar w:fldCharType="end"/>
      </w:r>
      <w:r>
        <w:rPr>
          <w:sz w:val="24"/>
          <w:szCs w:val="28"/>
        </w:rPr>
        <w:fldChar w:fldCharType="end"/>
      </w:r>
    </w:p>
    <w:p>
      <w:pPr>
        <w:pStyle w:val="22"/>
        <w:tabs>
          <w:tab w:val="right" w:leader="dot" w:pos="8306"/>
        </w:tabs>
        <w:spacing w:line="360" w:lineRule="auto"/>
        <w:rPr>
          <w:sz w:val="24"/>
          <w:szCs w:val="28"/>
        </w:rPr>
      </w:pPr>
      <w:r>
        <w:fldChar w:fldCharType="begin"/>
      </w:r>
      <w:r>
        <w:instrText xml:space="preserve"> HYPERLINK \l "_Toc13091" </w:instrText>
      </w:r>
      <w:r>
        <w:fldChar w:fldCharType="separate"/>
      </w:r>
      <w:r>
        <w:rPr>
          <w:rFonts w:ascii="楷体" w:hAnsi="楷体" w:eastAsia="楷体"/>
          <w:sz w:val="24"/>
          <w:szCs w:val="40"/>
        </w:rPr>
        <w:t>第一节 筑牢基层社会治理根基</w:t>
      </w:r>
      <w:r>
        <w:rPr>
          <w:sz w:val="24"/>
          <w:szCs w:val="28"/>
        </w:rPr>
        <w:tab/>
      </w:r>
      <w:r>
        <w:rPr>
          <w:sz w:val="24"/>
          <w:szCs w:val="28"/>
        </w:rPr>
        <w:fldChar w:fldCharType="begin"/>
      </w:r>
      <w:r>
        <w:rPr>
          <w:sz w:val="24"/>
          <w:szCs w:val="28"/>
        </w:rPr>
        <w:instrText xml:space="preserve"> PAGEREF _Toc13091 \h </w:instrText>
      </w:r>
      <w:r>
        <w:rPr>
          <w:sz w:val="24"/>
          <w:szCs w:val="28"/>
        </w:rPr>
        <w:fldChar w:fldCharType="separate"/>
      </w:r>
      <w:r>
        <w:rPr>
          <w:sz w:val="24"/>
          <w:szCs w:val="28"/>
        </w:rPr>
        <w:t>36</w:t>
      </w:r>
      <w:r>
        <w:rPr>
          <w:sz w:val="24"/>
          <w:szCs w:val="28"/>
        </w:rPr>
        <w:fldChar w:fldCharType="end"/>
      </w:r>
      <w:r>
        <w:rPr>
          <w:sz w:val="24"/>
          <w:szCs w:val="28"/>
        </w:rPr>
        <w:fldChar w:fldCharType="end"/>
      </w:r>
    </w:p>
    <w:p>
      <w:pPr>
        <w:pStyle w:val="22"/>
        <w:tabs>
          <w:tab w:val="right" w:leader="dot" w:pos="8306"/>
        </w:tabs>
        <w:spacing w:line="360" w:lineRule="auto"/>
        <w:rPr>
          <w:sz w:val="24"/>
          <w:szCs w:val="28"/>
        </w:rPr>
      </w:pPr>
      <w:r>
        <w:fldChar w:fldCharType="begin"/>
      </w:r>
      <w:r>
        <w:instrText xml:space="preserve"> HYPERLINK \l "_Toc18174" </w:instrText>
      </w:r>
      <w:r>
        <w:fldChar w:fldCharType="separate"/>
      </w:r>
      <w:r>
        <w:rPr>
          <w:rFonts w:ascii="楷体" w:hAnsi="楷体" w:eastAsia="楷体"/>
          <w:sz w:val="24"/>
          <w:szCs w:val="40"/>
        </w:rPr>
        <w:t>第二节 提升城乡社区服务能力</w:t>
      </w:r>
      <w:r>
        <w:rPr>
          <w:sz w:val="24"/>
          <w:szCs w:val="28"/>
        </w:rPr>
        <w:tab/>
      </w:r>
      <w:r>
        <w:rPr>
          <w:sz w:val="24"/>
          <w:szCs w:val="28"/>
        </w:rPr>
        <w:fldChar w:fldCharType="begin"/>
      </w:r>
      <w:r>
        <w:rPr>
          <w:sz w:val="24"/>
          <w:szCs w:val="28"/>
        </w:rPr>
        <w:instrText xml:space="preserve"> PAGEREF _Toc18174 \h </w:instrText>
      </w:r>
      <w:r>
        <w:rPr>
          <w:sz w:val="24"/>
          <w:szCs w:val="28"/>
        </w:rPr>
        <w:fldChar w:fldCharType="separate"/>
      </w:r>
      <w:r>
        <w:rPr>
          <w:sz w:val="24"/>
          <w:szCs w:val="28"/>
        </w:rPr>
        <w:t>38</w:t>
      </w:r>
      <w:r>
        <w:rPr>
          <w:sz w:val="24"/>
          <w:szCs w:val="28"/>
        </w:rPr>
        <w:fldChar w:fldCharType="end"/>
      </w:r>
      <w:r>
        <w:rPr>
          <w:sz w:val="24"/>
          <w:szCs w:val="28"/>
        </w:rPr>
        <w:fldChar w:fldCharType="end"/>
      </w:r>
    </w:p>
    <w:p>
      <w:pPr>
        <w:pStyle w:val="22"/>
        <w:tabs>
          <w:tab w:val="right" w:leader="dot" w:pos="8306"/>
        </w:tabs>
        <w:spacing w:line="360" w:lineRule="auto"/>
        <w:rPr>
          <w:sz w:val="24"/>
          <w:szCs w:val="28"/>
        </w:rPr>
      </w:pPr>
      <w:r>
        <w:fldChar w:fldCharType="begin"/>
      </w:r>
      <w:r>
        <w:instrText xml:space="preserve"> HYPERLINK \l "_Toc15165" </w:instrText>
      </w:r>
      <w:r>
        <w:fldChar w:fldCharType="separate"/>
      </w:r>
      <w:r>
        <w:rPr>
          <w:rFonts w:ascii="楷体" w:hAnsi="楷体" w:eastAsia="楷体"/>
          <w:sz w:val="24"/>
          <w:szCs w:val="40"/>
        </w:rPr>
        <w:t>第三节 促进社会组织高质量发展</w:t>
      </w:r>
      <w:r>
        <w:rPr>
          <w:sz w:val="24"/>
          <w:szCs w:val="28"/>
        </w:rPr>
        <w:tab/>
      </w:r>
      <w:r>
        <w:rPr>
          <w:sz w:val="24"/>
          <w:szCs w:val="28"/>
        </w:rPr>
        <w:fldChar w:fldCharType="begin"/>
      </w:r>
      <w:r>
        <w:rPr>
          <w:sz w:val="24"/>
          <w:szCs w:val="28"/>
        </w:rPr>
        <w:instrText xml:space="preserve"> PAGEREF _Toc15165 \h </w:instrText>
      </w:r>
      <w:r>
        <w:rPr>
          <w:sz w:val="24"/>
          <w:szCs w:val="28"/>
        </w:rPr>
        <w:fldChar w:fldCharType="separate"/>
      </w:r>
      <w:r>
        <w:rPr>
          <w:sz w:val="24"/>
          <w:szCs w:val="28"/>
        </w:rPr>
        <w:t>42</w:t>
      </w:r>
      <w:r>
        <w:rPr>
          <w:sz w:val="24"/>
          <w:szCs w:val="28"/>
        </w:rPr>
        <w:fldChar w:fldCharType="end"/>
      </w:r>
      <w:r>
        <w:rPr>
          <w:sz w:val="24"/>
          <w:szCs w:val="28"/>
        </w:rPr>
        <w:fldChar w:fldCharType="end"/>
      </w:r>
    </w:p>
    <w:p>
      <w:pPr>
        <w:pStyle w:val="22"/>
        <w:tabs>
          <w:tab w:val="right" w:leader="dot" w:pos="8306"/>
        </w:tabs>
        <w:spacing w:line="360" w:lineRule="auto"/>
        <w:rPr>
          <w:sz w:val="24"/>
          <w:szCs w:val="28"/>
        </w:rPr>
      </w:pPr>
      <w:r>
        <w:fldChar w:fldCharType="begin"/>
      </w:r>
      <w:r>
        <w:instrText xml:space="preserve"> HYPERLINK \l "_Toc28606" </w:instrText>
      </w:r>
      <w:r>
        <w:fldChar w:fldCharType="separate"/>
      </w:r>
      <w:r>
        <w:rPr>
          <w:rFonts w:ascii="楷体" w:hAnsi="楷体" w:eastAsia="楷体"/>
          <w:sz w:val="24"/>
          <w:szCs w:val="40"/>
        </w:rPr>
        <w:t>第四节 助推慈善事业高效发展</w:t>
      </w:r>
      <w:r>
        <w:rPr>
          <w:sz w:val="24"/>
          <w:szCs w:val="28"/>
        </w:rPr>
        <w:tab/>
      </w:r>
      <w:r>
        <w:rPr>
          <w:sz w:val="24"/>
          <w:szCs w:val="28"/>
        </w:rPr>
        <w:fldChar w:fldCharType="begin"/>
      </w:r>
      <w:r>
        <w:rPr>
          <w:sz w:val="24"/>
          <w:szCs w:val="28"/>
        </w:rPr>
        <w:instrText xml:space="preserve"> PAGEREF _Toc28606 \h </w:instrText>
      </w:r>
      <w:r>
        <w:rPr>
          <w:sz w:val="24"/>
          <w:szCs w:val="28"/>
        </w:rPr>
        <w:fldChar w:fldCharType="separate"/>
      </w:r>
      <w:r>
        <w:rPr>
          <w:sz w:val="24"/>
          <w:szCs w:val="28"/>
        </w:rPr>
        <w:t>44</w:t>
      </w:r>
      <w:r>
        <w:rPr>
          <w:sz w:val="24"/>
          <w:szCs w:val="28"/>
        </w:rPr>
        <w:fldChar w:fldCharType="end"/>
      </w:r>
      <w:r>
        <w:rPr>
          <w:sz w:val="24"/>
          <w:szCs w:val="28"/>
        </w:rPr>
        <w:fldChar w:fldCharType="end"/>
      </w:r>
    </w:p>
    <w:p>
      <w:pPr>
        <w:pStyle w:val="22"/>
        <w:tabs>
          <w:tab w:val="right" w:leader="dot" w:pos="8306"/>
        </w:tabs>
        <w:spacing w:line="360" w:lineRule="auto"/>
        <w:rPr>
          <w:sz w:val="24"/>
          <w:szCs w:val="28"/>
        </w:rPr>
      </w:pPr>
      <w:r>
        <w:fldChar w:fldCharType="begin"/>
      </w:r>
      <w:r>
        <w:instrText xml:space="preserve"> HYPERLINK \l "_Toc31856" </w:instrText>
      </w:r>
      <w:r>
        <w:fldChar w:fldCharType="separate"/>
      </w:r>
      <w:r>
        <w:rPr>
          <w:rFonts w:ascii="楷体" w:hAnsi="楷体" w:eastAsia="楷体"/>
          <w:sz w:val="24"/>
          <w:szCs w:val="40"/>
        </w:rPr>
        <w:t>第五节 完善社会工作和志愿服务体系</w:t>
      </w:r>
      <w:r>
        <w:rPr>
          <w:sz w:val="24"/>
          <w:szCs w:val="28"/>
        </w:rPr>
        <w:tab/>
      </w:r>
      <w:r>
        <w:rPr>
          <w:sz w:val="24"/>
          <w:szCs w:val="28"/>
        </w:rPr>
        <w:fldChar w:fldCharType="begin"/>
      </w:r>
      <w:r>
        <w:rPr>
          <w:sz w:val="24"/>
          <w:szCs w:val="28"/>
        </w:rPr>
        <w:instrText xml:space="preserve"> PAGEREF _Toc31856 \h </w:instrText>
      </w:r>
      <w:r>
        <w:rPr>
          <w:sz w:val="24"/>
          <w:szCs w:val="28"/>
        </w:rPr>
        <w:fldChar w:fldCharType="separate"/>
      </w:r>
      <w:r>
        <w:rPr>
          <w:sz w:val="24"/>
          <w:szCs w:val="28"/>
        </w:rPr>
        <w:t>47</w:t>
      </w:r>
      <w:r>
        <w:rPr>
          <w:sz w:val="24"/>
          <w:szCs w:val="28"/>
        </w:rPr>
        <w:fldChar w:fldCharType="end"/>
      </w:r>
      <w:r>
        <w:rPr>
          <w:sz w:val="24"/>
          <w:szCs w:val="28"/>
        </w:rPr>
        <w:fldChar w:fldCharType="end"/>
      </w:r>
    </w:p>
    <w:p>
      <w:pPr>
        <w:pStyle w:val="22"/>
        <w:tabs>
          <w:tab w:val="right" w:leader="dot" w:pos="8306"/>
        </w:tabs>
        <w:spacing w:line="360" w:lineRule="auto"/>
        <w:rPr>
          <w:sz w:val="24"/>
          <w:szCs w:val="28"/>
        </w:rPr>
      </w:pPr>
      <w:r>
        <w:fldChar w:fldCharType="begin"/>
      </w:r>
      <w:r>
        <w:instrText xml:space="preserve"> HYPERLINK \l "_Toc32238" </w:instrText>
      </w:r>
      <w:r>
        <w:fldChar w:fldCharType="separate"/>
      </w:r>
      <w:r>
        <w:rPr>
          <w:rFonts w:ascii="楷体" w:hAnsi="楷体" w:eastAsia="楷体"/>
          <w:sz w:val="24"/>
          <w:szCs w:val="40"/>
        </w:rPr>
        <w:t>第六节 加强行政区划和行政区域界线管理</w:t>
      </w:r>
      <w:r>
        <w:rPr>
          <w:sz w:val="24"/>
          <w:szCs w:val="28"/>
        </w:rPr>
        <w:tab/>
      </w:r>
      <w:r>
        <w:rPr>
          <w:sz w:val="24"/>
          <w:szCs w:val="28"/>
        </w:rPr>
        <w:fldChar w:fldCharType="begin"/>
      </w:r>
      <w:r>
        <w:rPr>
          <w:sz w:val="24"/>
          <w:szCs w:val="28"/>
        </w:rPr>
        <w:instrText xml:space="preserve"> PAGEREF _Toc32238 \h </w:instrText>
      </w:r>
      <w:r>
        <w:rPr>
          <w:sz w:val="24"/>
          <w:szCs w:val="28"/>
        </w:rPr>
        <w:fldChar w:fldCharType="separate"/>
      </w:r>
      <w:r>
        <w:rPr>
          <w:sz w:val="24"/>
          <w:szCs w:val="28"/>
        </w:rPr>
        <w:t>49</w:t>
      </w:r>
      <w:r>
        <w:rPr>
          <w:sz w:val="24"/>
          <w:szCs w:val="28"/>
        </w:rPr>
        <w:fldChar w:fldCharType="end"/>
      </w:r>
      <w:r>
        <w:rPr>
          <w:sz w:val="24"/>
          <w:szCs w:val="28"/>
        </w:rPr>
        <w:fldChar w:fldCharType="end"/>
      </w:r>
    </w:p>
    <w:p>
      <w:pPr>
        <w:pStyle w:val="19"/>
        <w:tabs>
          <w:tab w:val="right" w:leader="dot" w:pos="8306"/>
        </w:tabs>
        <w:spacing w:line="360" w:lineRule="auto"/>
        <w:rPr>
          <w:sz w:val="24"/>
          <w:szCs w:val="28"/>
        </w:rPr>
      </w:pPr>
      <w:r>
        <w:fldChar w:fldCharType="begin"/>
      </w:r>
      <w:r>
        <w:instrText xml:space="preserve"> HYPERLINK \l "_Toc20518" </w:instrText>
      </w:r>
      <w:r>
        <w:fldChar w:fldCharType="separate"/>
      </w:r>
      <w:r>
        <w:rPr>
          <w:rFonts w:hint="eastAsia" w:ascii="黑体" w:hAnsi="黑体"/>
          <w:kern w:val="44"/>
          <w:sz w:val="24"/>
          <w:szCs w:val="40"/>
        </w:rPr>
        <w:t>第六章 建设优质高效社会服务体系</w:t>
      </w:r>
      <w:r>
        <w:rPr>
          <w:sz w:val="24"/>
          <w:szCs w:val="28"/>
        </w:rPr>
        <w:tab/>
      </w:r>
      <w:r>
        <w:rPr>
          <w:sz w:val="24"/>
          <w:szCs w:val="28"/>
        </w:rPr>
        <w:fldChar w:fldCharType="begin"/>
      </w:r>
      <w:r>
        <w:rPr>
          <w:sz w:val="24"/>
          <w:szCs w:val="28"/>
        </w:rPr>
        <w:instrText xml:space="preserve"> PAGEREF _Toc20518 \h </w:instrText>
      </w:r>
      <w:r>
        <w:rPr>
          <w:sz w:val="24"/>
          <w:szCs w:val="28"/>
        </w:rPr>
        <w:fldChar w:fldCharType="separate"/>
      </w:r>
      <w:r>
        <w:rPr>
          <w:sz w:val="24"/>
          <w:szCs w:val="28"/>
        </w:rPr>
        <w:t>50</w:t>
      </w:r>
      <w:r>
        <w:rPr>
          <w:sz w:val="24"/>
          <w:szCs w:val="28"/>
        </w:rPr>
        <w:fldChar w:fldCharType="end"/>
      </w:r>
      <w:r>
        <w:rPr>
          <w:sz w:val="24"/>
          <w:szCs w:val="28"/>
        </w:rPr>
        <w:fldChar w:fldCharType="end"/>
      </w:r>
    </w:p>
    <w:p>
      <w:pPr>
        <w:pStyle w:val="22"/>
        <w:tabs>
          <w:tab w:val="right" w:leader="dot" w:pos="8306"/>
        </w:tabs>
        <w:spacing w:line="360" w:lineRule="auto"/>
        <w:rPr>
          <w:sz w:val="24"/>
          <w:szCs w:val="28"/>
        </w:rPr>
      </w:pPr>
      <w:r>
        <w:fldChar w:fldCharType="begin"/>
      </w:r>
      <w:r>
        <w:instrText xml:space="preserve"> HYPERLINK \l "_Toc11542" </w:instrText>
      </w:r>
      <w:r>
        <w:fldChar w:fldCharType="separate"/>
      </w:r>
      <w:r>
        <w:rPr>
          <w:rFonts w:hint="eastAsia" w:ascii="楷体" w:hAnsi="楷体" w:eastAsia="楷体"/>
          <w:kern w:val="0"/>
          <w:sz w:val="24"/>
          <w:szCs w:val="40"/>
        </w:rPr>
        <w:t>第一节 推进和谐婚姻家庭建设</w:t>
      </w:r>
      <w:r>
        <w:rPr>
          <w:sz w:val="24"/>
          <w:szCs w:val="28"/>
        </w:rPr>
        <w:tab/>
      </w:r>
      <w:r>
        <w:rPr>
          <w:sz w:val="24"/>
          <w:szCs w:val="28"/>
        </w:rPr>
        <w:fldChar w:fldCharType="begin"/>
      </w:r>
      <w:r>
        <w:rPr>
          <w:sz w:val="24"/>
          <w:szCs w:val="28"/>
        </w:rPr>
        <w:instrText xml:space="preserve"> PAGEREF _Toc11542 \h </w:instrText>
      </w:r>
      <w:r>
        <w:rPr>
          <w:sz w:val="24"/>
          <w:szCs w:val="28"/>
        </w:rPr>
        <w:fldChar w:fldCharType="separate"/>
      </w:r>
      <w:r>
        <w:rPr>
          <w:sz w:val="24"/>
          <w:szCs w:val="28"/>
        </w:rPr>
        <w:t>50</w:t>
      </w:r>
      <w:r>
        <w:rPr>
          <w:sz w:val="24"/>
          <w:szCs w:val="28"/>
        </w:rPr>
        <w:fldChar w:fldCharType="end"/>
      </w:r>
      <w:r>
        <w:rPr>
          <w:sz w:val="24"/>
          <w:szCs w:val="28"/>
        </w:rPr>
        <w:fldChar w:fldCharType="end"/>
      </w:r>
    </w:p>
    <w:p>
      <w:pPr>
        <w:pStyle w:val="22"/>
        <w:tabs>
          <w:tab w:val="right" w:leader="dot" w:pos="8306"/>
        </w:tabs>
        <w:spacing w:line="360" w:lineRule="auto"/>
        <w:rPr>
          <w:sz w:val="24"/>
          <w:szCs w:val="28"/>
        </w:rPr>
      </w:pPr>
      <w:r>
        <w:fldChar w:fldCharType="begin"/>
      </w:r>
      <w:r>
        <w:instrText xml:space="preserve"> HYPERLINK \l "_Toc21612" </w:instrText>
      </w:r>
      <w:r>
        <w:fldChar w:fldCharType="separate"/>
      </w:r>
      <w:r>
        <w:rPr>
          <w:rFonts w:hint="eastAsia" w:ascii="楷体" w:hAnsi="楷体" w:eastAsia="楷体"/>
          <w:kern w:val="0"/>
          <w:sz w:val="24"/>
          <w:szCs w:val="40"/>
        </w:rPr>
        <w:t>第二节 提升殡葬管理服务水平</w:t>
      </w:r>
      <w:r>
        <w:rPr>
          <w:sz w:val="24"/>
          <w:szCs w:val="28"/>
        </w:rPr>
        <w:tab/>
      </w:r>
      <w:r>
        <w:rPr>
          <w:sz w:val="24"/>
          <w:szCs w:val="28"/>
        </w:rPr>
        <w:fldChar w:fldCharType="begin"/>
      </w:r>
      <w:r>
        <w:rPr>
          <w:sz w:val="24"/>
          <w:szCs w:val="28"/>
        </w:rPr>
        <w:instrText xml:space="preserve"> PAGEREF _Toc21612 \h </w:instrText>
      </w:r>
      <w:r>
        <w:rPr>
          <w:sz w:val="24"/>
          <w:szCs w:val="28"/>
        </w:rPr>
        <w:fldChar w:fldCharType="separate"/>
      </w:r>
      <w:r>
        <w:rPr>
          <w:sz w:val="24"/>
          <w:szCs w:val="28"/>
        </w:rPr>
        <w:t>52</w:t>
      </w:r>
      <w:r>
        <w:rPr>
          <w:sz w:val="24"/>
          <w:szCs w:val="28"/>
        </w:rPr>
        <w:fldChar w:fldCharType="end"/>
      </w:r>
      <w:r>
        <w:rPr>
          <w:sz w:val="24"/>
          <w:szCs w:val="28"/>
        </w:rPr>
        <w:fldChar w:fldCharType="end"/>
      </w:r>
    </w:p>
    <w:p>
      <w:pPr>
        <w:pStyle w:val="22"/>
        <w:tabs>
          <w:tab w:val="right" w:leader="dot" w:pos="8306"/>
        </w:tabs>
        <w:spacing w:line="360" w:lineRule="auto"/>
        <w:rPr>
          <w:sz w:val="24"/>
          <w:szCs w:val="28"/>
        </w:rPr>
      </w:pPr>
      <w:r>
        <w:fldChar w:fldCharType="begin"/>
      </w:r>
      <w:r>
        <w:instrText xml:space="preserve"> HYPERLINK \l "_Toc14639" </w:instrText>
      </w:r>
      <w:r>
        <w:fldChar w:fldCharType="separate"/>
      </w:r>
      <w:r>
        <w:rPr>
          <w:rFonts w:hint="eastAsia" w:ascii="楷体" w:hAnsi="楷体" w:eastAsia="楷体"/>
          <w:kern w:val="0"/>
          <w:sz w:val="24"/>
          <w:szCs w:val="40"/>
        </w:rPr>
        <w:t>第三节 实施地名管理服务水平提升计划</w:t>
      </w:r>
      <w:r>
        <w:rPr>
          <w:sz w:val="24"/>
          <w:szCs w:val="28"/>
        </w:rPr>
        <w:tab/>
      </w:r>
      <w:r>
        <w:rPr>
          <w:sz w:val="24"/>
          <w:szCs w:val="28"/>
        </w:rPr>
        <w:fldChar w:fldCharType="begin"/>
      </w:r>
      <w:r>
        <w:rPr>
          <w:sz w:val="24"/>
          <w:szCs w:val="28"/>
        </w:rPr>
        <w:instrText xml:space="preserve"> PAGEREF _Toc14639 \h </w:instrText>
      </w:r>
      <w:r>
        <w:rPr>
          <w:sz w:val="24"/>
          <w:szCs w:val="28"/>
        </w:rPr>
        <w:fldChar w:fldCharType="separate"/>
      </w:r>
      <w:r>
        <w:rPr>
          <w:sz w:val="24"/>
          <w:szCs w:val="28"/>
        </w:rPr>
        <w:t>54</w:t>
      </w:r>
      <w:r>
        <w:rPr>
          <w:sz w:val="24"/>
          <w:szCs w:val="28"/>
        </w:rPr>
        <w:fldChar w:fldCharType="end"/>
      </w:r>
      <w:r>
        <w:rPr>
          <w:sz w:val="24"/>
          <w:szCs w:val="28"/>
        </w:rPr>
        <w:fldChar w:fldCharType="end"/>
      </w:r>
    </w:p>
    <w:p>
      <w:pPr>
        <w:pStyle w:val="22"/>
        <w:tabs>
          <w:tab w:val="right" w:leader="dot" w:pos="8306"/>
        </w:tabs>
        <w:spacing w:line="360" w:lineRule="auto"/>
        <w:rPr>
          <w:sz w:val="24"/>
          <w:szCs w:val="28"/>
        </w:rPr>
      </w:pPr>
      <w:r>
        <w:fldChar w:fldCharType="begin"/>
      </w:r>
      <w:r>
        <w:instrText xml:space="preserve"> HYPERLINK \l "_Toc31492" </w:instrText>
      </w:r>
      <w:r>
        <w:fldChar w:fldCharType="separate"/>
      </w:r>
      <w:r>
        <w:rPr>
          <w:rFonts w:hint="eastAsia" w:ascii="楷体" w:hAnsi="楷体" w:eastAsia="楷体"/>
          <w:kern w:val="0"/>
          <w:sz w:val="24"/>
          <w:szCs w:val="36"/>
        </w:rPr>
        <w:t>第四节 推动康复辅助器具产业发展</w:t>
      </w:r>
      <w:r>
        <w:rPr>
          <w:sz w:val="24"/>
          <w:szCs w:val="28"/>
        </w:rPr>
        <w:tab/>
      </w:r>
      <w:r>
        <w:rPr>
          <w:sz w:val="24"/>
          <w:szCs w:val="28"/>
        </w:rPr>
        <w:fldChar w:fldCharType="begin"/>
      </w:r>
      <w:r>
        <w:rPr>
          <w:sz w:val="24"/>
          <w:szCs w:val="28"/>
        </w:rPr>
        <w:instrText xml:space="preserve"> PAGEREF _Toc31492 \h </w:instrText>
      </w:r>
      <w:r>
        <w:rPr>
          <w:sz w:val="24"/>
          <w:szCs w:val="28"/>
        </w:rPr>
        <w:fldChar w:fldCharType="separate"/>
      </w:r>
      <w:r>
        <w:rPr>
          <w:sz w:val="24"/>
          <w:szCs w:val="28"/>
        </w:rPr>
        <w:t>55</w:t>
      </w:r>
      <w:r>
        <w:rPr>
          <w:sz w:val="24"/>
          <w:szCs w:val="28"/>
        </w:rPr>
        <w:fldChar w:fldCharType="end"/>
      </w:r>
      <w:r>
        <w:rPr>
          <w:sz w:val="24"/>
          <w:szCs w:val="28"/>
        </w:rPr>
        <w:fldChar w:fldCharType="end"/>
      </w:r>
    </w:p>
    <w:p>
      <w:pPr>
        <w:pStyle w:val="19"/>
        <w:tabs>
          <w:tab w:val="right" w:leader="dot" w:pos="8306"/>
        </w:tabs>
        <w:spacing w:line="360" w:lineRule="auto"/>
        <w:rPr>
          <w:sz w:val="24"/>
          <w:szCs w:val="28"/>
        </w:rPr>
      </w:pPr>
      <w:r>
        <w:fldChar w:fldCharType="begin"/>
      </w:r>
      <w:r>
        <w:instrText xml:space="preserve"> HYPERLINK \l "_Toc9175" </w:instrText>
      </w:r>
      <w:r>
        <w:fldChar w:fldCharType="separate"/>
      </w:r>
      <w:r>
        <w:rPr>
          <w:rFonts w:hint="eastAsia" w:ascii="黑体" w:hAnsi="黑体"/>
          <w:kern w:val="44"/>
          <w:sz w:val="24"/>
          <w:szCs w:val="40"/>
        </w:rPr>
        <w:t>第七章 打造未成年人保护开封品牌</w:t>
      </w:r>
      <w:r>
        <w:rPr>
          <w:sz w:val="24"/>
          <w:szCs w:val="28"/>
        </w:rPr>
        <w:tab/>
      </w:r>
      <w:r>
        <w:rPr>
          <w:sz w:val="24"/>
          <w:szCs w:val="28"/>
        </w:rPr>
        <w:fldChar w:fldCharType="begin"/>
      </w:r>
      <w:r>
        <w:rPr>
          <w:sz w:val="24"/>
          <w:szCs w:val="28"/>
        </w:rPr>
        <w:instrText xml:space="preserve"> PAGEREF _Toc9175 \h </w:instrText>
      </w:r>
      <w:r>
        <w:rPr>
          <w:sz w:val="24"/>
          <w:szCs w:val="28"/>
        </w:rPr>
        <w:fldChar w:fldCharType="separate"/>
      </w:r>
      <w:r>
        <w:rPr>
          <w:sz w:val="24"/>
          <w:szCs w:val="28"/>
        </w:rPr>
        <w:t>57</w:t>
      </w:r>
      <w:r>
        <w:rPr>
          <w:sz w:val="24"/>
          <w:szCs w:val="28"/>
        </w:rPr>
        <w:fldChar w:fldCharType="end"/>
      </w:r>
      <w:r>
        <w:rPr>
          <w:sz w:val="24"/>
          <w:szCs w:val="28"/>
        </w:rPr>
        <w:fldChar w:fldCharType="end"/>
      </w:r>
    </w:p>
    <w:p>
      <w:pPr>
        <w:pStyle w:val="22"/>
        <w:tabs>
          <w:tab w:val="right" w:leader="dot" w:pos="8306"/>
        </w:tabs>
        <w:spacing w:line="360" w:lineRule="auto"/>
        <w:rPr>
          <w:sz w:val="24"/>
          <w:szCs w:val="28"/>
        </w:rPr>
      </w:pPr>
      <w:r>
        <w:fldChar w:fldCharType="begin"/>
      </w:r>
      <w:r>
        <w:instrText xml:space="preserve"> HYPERLINK \l "_Toc25182" </w:instrText>
      </w:r>
      <w:r>
        <w:fldChar w:fldCharType="separate"/>
      </w:r>
      <w:r>
        <w:rPr>
          <w:rFonts w:hint="eastAsia" w:ascii="楷体" w:hAnsi="楷体" w:eastAsia="楷体"/>
          <w:kern w:val="0"/>
          <w:sz w:val="24"/>
          <w:szCs w:val="40"/>
        </w:rPr>
        <w:t>第一节 加快儿童福利事业发展</w:t>
      </w:r>
      <w:r>
        <w:rPr>
          <w:sz w:val="24"/>
          <w:szCs w:val="28"/>
        </w:rPr>
        <w:tab/>
      </w:r>
      <w:r>
        <w:rPr>
          <w:sz w:val="24"/>
          <w:szCs w:val="28"/>
        </w:rPr>
        <w:fldChar w:fldCharType="begin"/>
      </w:r>
      <w:r>
        <w:rPr>
          <w:sz w:val="24"/>
          <w:szCs w:val="28"/>
        </w:rPr>
        <w:instrText xml:space="preserve"> PAGEREF _Toc25182 \h </w:instrText>
      </w:r>
      <w:r>
        <w:rPr>
          <w:sz w:val="24"/>
          <w:szCs w:val="28"/>
        </w:rPr>
        <w:fldChar w:fldCharType="separate"/>
      </w:r>
      <w:r>
        <w:rPr>
          <w:sz w:val="24"/>
          <w:szCs w:val="28"/>
        </w:rPr>
        <w:t>57</w:t>
      </w:r>
      <w:r>
        <w:rPr>
          <w:sz w:val="24"/>
          <w:szCs w:val="28"/>
        </w:rPr>
        <w:fldChar w:fldCharType="end"/>
      </w:r>
      <w:r>
        <w:rPr>
          <w:sz w:val="24"/>
          <w:szCs w:val="28"/>
        </w:rPr>
        <w:fldChar w:fldCharType="end"/>
      </w:r>
    </w:p>
    <w:p>
      <w:pPr>
        <w:pStyle w:val="22"/>
        <w:tabs>
          <w:tab w:val="right" w:leader="dot" w:pos="8306"/>
        </w:tabs>
        <w:spacing w:line="360" w:lineRule="auto"/>
        <w:rPr>
          <w:sz w:val="24"/>
          <w:szCs w:val="28"/>
        </w:rPr>
      </w:pPr>
      <w:r>
        <w:fldChar w:fldCharType="begin"/>
      </w:r>
      <w:r>
        <w:instrText xml:space="preserve"> HYPERLINK \l "_Toc12283" </w:instrText>
      </w:r>
      <w:r>
        <w:fldChar w:fldCharType="separate"/>
      </w:r>
      <w:r>
        <w:rPr>
          <w:rFonts w:hint="eastAsia" w:ascii="楷体" w:hAnsi="楷体" w:eastAsia="楷体"/>
          <w:kern w:val="0"/>
          <w:sz w:val="24"/>
          <w:szCs w:val="40"/>
        </w:rPr>
        <w:t>第二节 完善未成年人关爱机制</w:t>
      </w:r>
      <w:r>
        <w:rPr>
          <w:sz w:val="24"/>
          <w:szCs w:val="28"/>
        </w:rPr>
        <w:tab/>
      </w:r>
      <w:r>
        <w:rPr>
          <w:sz w:val="24"/>
          <w:szCs w:val="28"/>
        </w:rPr>
        <w:fldChar w:fldCharType="begin"/>
      </w:r>
      <w:r>
        <w:rPr>
          <w:sz w:val="24"/>
          <w:szCs w:val="28"/>
        </w:rPr>
        <w:instrText xml:space="preserve"> PAGEREF _Toc12283 \h </w:instrText>
      </w:r>
      <w:r>
        <w:rPr>
          <w:sz w:val="24"/>
          <w:szCs w:val="28"/>
        </w:rPr>
        <w:fldChar w:fldCharType="separate"/>
      </w:r>
      <w:r>
        <w:rPr>
          <w:sz w:val="24"/>
          <w:szCs w:val="28"/>
        </w:rPr>
        <w:t>58</w:t>
      </w:r>
      <w:r>
        <w:rPr>
          <w:sz w:val="24"/>
          <w:szCs w:val="28"/>
        </w:rPr>
        <w:fldChar w:fldCharType="end"/>
      </w:r>
      <w:r>
        <w:rPr>
          <w:sz w:val="24"/>
          <w:szCs w:val="28"/>
        </w:rPr>
        <w:fldChar w:fldCharType="end"/>
      </w:r>
    </w:p>
    <w:p>
      <w:pPr>
        <w:pStyle w:val="22"/>
        <w:tabs>
          <w:tab w:val="right" w:leader="dot" w:pos="8306"/>
        </w:tabs>
        <w:spacing w:line="360" w:lineRule="auto"/>
        <w:rPr>
          <w:sz w:val="24"/>
          <w:szCs w:val="28"/>
        </w:rPr>
      </w:pPr>
      <w:r>
        <w:fldChar w:fldCharType="begin"/>
      </w:r>
      <w:r>
        <w:instrText xml:space="preserve"> HYPERLINK \l "_Toc20221" </w:instrText>
      </w:r>
      <w:r>
        <w:fldChar w:fldCharType="separate"/>
      </w:r>
      <w:r>
        <w:rPr>
          <w:rFonts w:hint="eastAsia" w:ascii="楷体" w:hAnsi="楷体" w:eastAsia="楷体"/>
          <w:kern w:val="0"/>
          <w:sz w:val="24"/>
          <w:szCs w:val="40"/>
        </w:rPr>
        <w:t>第三节 加强农村留守儿童、妇女关爱服务</w:t>
      </w:r>
      <w:r>
        <w:rPr>
          <w:sz w:val="24"/>
          <w:szCs w:val="28"/>
        </w:rPr>
        <w:tab/>
      </w:r>
      <w:r>
        <w:rPr>
          <w:sz w:val="24"/>
          <w:szCs w:val="28"/>
        </w:rPr>
        <w:fldChar w:fldCharType="begin"/>
      </w:r>
      <w:r>
        <w:rPr>
          <w:sz w:val="24"/>
          <w:szCs w:val="28"/>
        </w:rPr>
        <w:instrText xml:space="preserve"> PAGEREF _Toc20221 \h </w:instrText>
      </w:r>
      <w:r>
        <w:rPr>
          <w:sz w:val="24"/>
          <w:szCs w:val="28"/>
        </w:rPr>
        <w:fldChar w:fldCharType="separate"/>
      </w:r>
      <w:r>
        <w:rPr>
          <w:sz w:val="24"/>
          <w:szCs w:val="28"/>
        </w:rPr>
        <w:t>60</w:t>
      </w:r>
      <w:r>
        <w:rPr>
          <w:sz w:val="24"/>
          <w:szCs w:val="28"/>
        </w:rPr>
        <w:fldChar w:fldCharType="end"/>
      </w:r>
      <w:r>
        <w:rPr>
          <w:sz w:val="24"/>
          <w:szCs w:val="28"/>
        </w:rPr>
        <w:fldChar w:fldCharType="end"/>
      </w:r>
    </w:p>
    <w:p>
      <w:pPr>
        <w:pStyle w:val="19"/>
        <w:tabs>
          <w:tab w:val="right" w:leader="dot" w:pos="8306"/>
        </w:tabs>
        <w:spacing w:line="360" w:lineRule="auto"/>
        <w:rPr>
          <w:sz w:val="24"/>
          <w:szCs w:val="28"/>
        </w:rPr>
      </w:pPr>
      <w:r>
        <w:fldChar w:fldCharType="begin"/>
      </w:r>
      <w:r>
        <w:instrText xml:space="preserve"> HYPERLINK \l "_Toc12312" </w:instrText>
      </w:r>
      <w:r>
        <w:fldChar w:fldCharType="separate"/>
      </w:r>
      <w:r>
        <w:rPr>
          <w:rFonts w:hint="eastAsia" w:ascii="黑体" w:hAnsi="黑体"/>
          <w:kern w:val="44"/>
          <w:sz w:val="24"/>
          <w:szCs w:val="40"/>
        </w:rPr>
        <w:t>第八章 打造新型民政事业发展标杆</w:t>
      </w:r>
      <w:r>
        <w:rPr>
          <w:sz w:val="24"/>
          <w:szCs w:val="28"/>
        </w:rPr>
        <w:tab/>
      </w:r>
      <w:r>
        <w:rPr>
          <w:sz w:val="24"/>
          <w:szCs w:val="28"/>
        </w:rPr>
        <w:fldChar w:fldCharType="begin"/>
      </w:r>
      <w:r>
        <w:rPr>
          <w:sz w:val="24"/>
          <w:szCs w:val="28"/>
        </w:rPr>
        <w:instrText xml:space="preserve"> PAGEREF _Toc12312 \h </w:instrText>
      </w:r>
      <w:r>
        <w:rPr>
          <w:sz w:val="24"/>
          <w:szCs w:val="28"/>
        </w:rPr>
        <w:fldChar w:fldCharType="separate"/>
      </w:r>
      <w:r>
        <w:rPr>
          <w:sz w:val="24"/>
          <w:szCs w:val="28"/>
        </w:rPr>
        <w:t>62</w:t>
      </w:r>
      <w:r>
        <w:rPr>
          <w:sz w:val="24"/>
          <w:szCs w:val="28"/>
        </w:rPr>
        <w:fldChar w:fldCharType="end"/>
      </w:r>
      <w:r>
        <w:rPr>
          <w:sz w:val="24"/>
          <w:szCs w:val="28"/>
        </w:rPr>
        <w:fldChar w:fldCharType="end"/>
      </w:r>
    </w:p>
    <w:p>
      <w:pPr>
        <w:pStyle w:val="22"/>
        <w:tabs>
          <w:tab w:val="right" w:leader="dot" w:pos="8306"/>
        </w:tabs>
        <w:spacing w:line="360" w:lineRule="auto"/>
        <w:rPr>
          <w:sz w:val="24"/>
          <w:szCs w:val="28"/>
        </w:rPr>
      </w:pPr>
      <w:r>
        <w:fldChar w:fldCharType="begin"/>
      </w:r>
      <w:r>
        <w:instrText xml:space="preserve"> HYPERLINK \l "_Toc4431" </w:instrText>
      </w:r>
      <w:r>
        <w:fldChar w:fldCharType="separate"/>
      </w:r>
      <w:r>
        <w:rPr>
          <w:rFonts w:hint="eastAsia" w:ascii="楷体" w:hAnsi="楷体" w:eastAsia="楷体"/>
          <w:kern w:val="0"/>
          <w:sz w:val="24"/>
          <w:szCs w:val="40"/>
        </w:rPr>
        <w:t>第一节 推动民政事业高质量发展</w:t>
      </w:r>
      <w:r>
        <w:rPr>
          <w:sz w:val="24"/>
          <w:szCs w:val="28"/>
        </w:rPr>
        <w:tab/>
      </w:r>
      <w:r>
        <w:rPr>
          <w:sz w:val="24"/>
          <w:szCs w:val="28"/>
        </w:rPr>
        <w:fldChar w:fldCharType="begin"/>
      </w:r>
      <w:r>
        <w:rPr>
          <w:sz w:val="24"/>
          <w:szCs w:val="28"/>
        </w:rPr>
        <w:instrText xml:space="preserve"> PAGEREF _Toc4431 \h </w:instrText>
      </w:r>
      <w:r>
        <w:rPr>
          <w:sz w:val="24"/>
          <w:szCs w:val="28"/>
        </w:rPr>
        <w:fldChar w:fldCharType="separate"/>
      </w:r>
      <w:r>
        <w:rPr>
          <w:sz w:val="24"/>
          <w:szCs w:val="28"/>
        </w:rPr>
        <w:t>62</w:t>
      </w:r>
      <w:r>
        <w:rPr>
          <w:sz w:val="24"/>
          <w:szCs w:val="28"/>
        </w:rPr>
        <w:fldChar w:fldCharType="end"/>
      </w:r>
      <w:r>
        <w:rPr>
          <w:sz w:val="24"/>
          <w:szCs w:val="28"/>
        </w:rPr>
        <w:fldChar w:fldCharType="end"/>
      </w:r>
    </w:p>
    <w:p>
      <w:pPr>
        <w:pStyle w:val="22"/>
        <w:tabs>
          <w:tab w:val="right" w:leader="dot" w:pos="8306"/>
        </w:tabs>
        <w:spacing w:line="360" w:lineRule="auto"/>
        <w:rPr>
          <w:sz w:val="24"/>
          <w:szCs w:val="28"/>
        </w:rPr>
      </w:pPr>
      <w:r>
        <w:fldChar w:fldCharType="begin"/>
      </w:r>
      <w:r>
        <w:instrText xml:space="preserve"> HYPERLINK \l "_Toc25412" </w:instrText>
      </w:r>
      <w:r>
        <w:fldChar w:fldCharType="separate"/>
      </w:r>
      <w:r>
        <w:rPr>
          <w:rFonts w:hint="eastAsia" w:ascii="楷体" w:hAnsi="楷体" w:eastAsia="楷体"/>
          <w:kern w:val="0"/>
          <w:sz w:val="24"/>
          <w:szCs w:val="40"/>
        </w:rPr>
        <w:t>第二节 构建数字民政发展高地</w:t>
      </w:r>
      <w:r>
        <w:rPr>
          <w:sz w:val="24"/>
          <w:szCs w:val="28"/>
        </w:rPr>
        <w:tab/>
      </w:r>
      <w:r>
        <w:rPr>
          <w:sz w:val="24"/>
          <w:szCs w:val="28"/>
        </w:rPr>
        <w:fldChar w:fldCharType="begin"/>
      </w:r>
      <w:r>
        <w:rPr>
          <w:sz w:val="24"/>
          <w:szCs w:val="28"/>
        </w:rPr>
        <w:instrText xml:space="preserve"> PAGEREF _Toc25412 \h </w:instrText>
      </w:r>
      <w:r>
        <w:rPr>
          <w:sz w:val="24"/>
          <w:szCs w:val="28"/>
        </w:rPr>
        <w:fldChar w:fldCharType="separate"/>
      </w:r>
      <w:r>
        <w:rPr>
          <w:sz w:val="24"/>
          <w:szCs w:val="28"/>
        </w:rPr>
        <w:t>64</w:t>
      </w:r>
      <w:r>
        <w:rPr>
          <w:sz w:val="24"/>
          <w:szCs w:val="28"/>
        </w:rPr>
        <w:fldChar w:fldCharType="end"/>
      </w:r>
      <w:r>
        <w:rPr>
          <w:sz w:val="24"/>
          <w:szCs w:val="28"/>
        </w:rPr>
        <w:fldChar w:fldCharType="end"/>
      </w:r>
    </w:p>
    <w:p>
      <w:pPr>
        <w:pStyle w:val="22"/>
        <w:tabs>
          <w:tab w:val="right" w:leader="dot" w:pos="8306"/>
        </w:tabs>
        <w:spacing w:line="360" w:lineRule="auto"/>
        <w:rPr>
          <w:sz w:val="24"/>
          <w:szCs w:val="28"/>
        </w:rPr>
      </w:pPr>
      <w:r>
        <w:fldChar w:fldCharType="begin"/>
      </w:r>
      <w:r>
        <w:instrText xml:space="preserve"> HYPERLINK \l "_Toc17159" </w:instrText>
      </w:r>
      <w:r>
        <w:fldChar w:fldCharType="separate"/>
      </w:r>
      <w:r>
        <w:rPr>
          <w:rFonts w:hint="eastAsia" w:ascii="楷体" w:hAnsi="楷体" w:eastAsia="楷体"/>
          <w:kern w:val="0"/>
          <w:sz w:val="24"/>
          <w:szCs w:val="40"/>
        </w:rPr>
        <w:t>第三节 建立多方协同工作机制</w:t>
      </w:r>
      <w:r>
        <w:rPr>
          <w:sz w:val="24"/>
          <w:szCs w:val="28"/>
        </w:rPr>
        <w:tab/>
      </w:r>
      <w:r>
        <w:rPr>
          <w:sz w:val="24"/>
          <w:szCs w:val="28"/>
        </w:rPr>
        <w:fldChar w:fldCharType="begin"/>
      </w:r>
      <w:r>
        <w:rPr>
          <w:sz w:val="24"/>
          <w:szCs w:val="28"/>
        </w:rPr>
        <w:instrText xml:space="preserve"> PAGEREF _Toc17159 \h </w:instrText>
      </w:r>
      <w:r>
        <w:rPr>
          <w:sz w:val="24"/>
          <w:szCs w:val="28"/>
        </w:rPr>
        <w:fldChar w:fldCharType="separate"/>
      </w:r>
      <w:r>
        <w:rPr>
          <w:sz w:val="24"/>
          <w:szCs w:val="28"/>
        </w:rPr>
        <w:t>68</w:t>
      </w:r>
      <w:r>
        <w:rPr>
          <w:sz w:val="24"/>
          <w:szCs w:val="28"/>
        </w:rPr>
        <w:fldChar w:fldCharType="end"/>
      </w:r>
      <w:r>
        <w:rPr>
          <w:sz w:val="24"/>
          <w:szCs w:val="28"/>
        </w:rPr>
        <w:fldChar w:fldCharType="end"/>
      </w:r>
    </w:p>
    <w:p>
      <w:pPr>
        <w:pStyle w:val="22"/>
        <w:tabs>
          <w:tab w:val="right" w:leader="dot" w:pos="8306"/>
        </w:tabs>
        <w:spacing w:line="360" w:lineRule="auto"/>
        <w:rPr>
          <w:sz w:val="24"/>
          <w:szCs w:val="28"/>
        </w:rPr>
      </w:pPr>
      <w:r>
        <w:fldChar w:fldCharType="begin"/>
      </w:r>
      <w:r>
        <w:instrText xml:space="preserve"> HYPERLINK \l "_Toc16271" </w:instrText>
      </w:r>
      <w:r>
        <w:fldChar w:fldCharType="separate"/>
      </w:r>
      <w:r>
        <w:rPr>
          <w:rFonts w:hint="eastAsia" w:ascii="楷体" w:hAnsi="楷体" w:eastAsia="楷体"/>
          <w:kern w:val="0"/>
          <w:sz w:val="24"/>
          <w:szCs w:val="40"/>
        </w:rPr>
        <w:t>第四节 强化新型民政人才培养机制</w:t>
      </w:r>
      <w:r>
        <w:rPr>
          <w:sz w:val="24"/>
          <w:szCs w:val="28"/>
        </w:rPr>
        <w:tab/>
      </w:r>
      <w:r>
        <w:rPr>
          <w:sz w:val="24"/>
          <w:szCs w:val="28"/>
        </w:rPr>
        <w:fldChar w:fldCharType="begin"/>
      </w:r>
      <w:r>
        <w:rPr>
          <w:sz w:val="24"/>
          <w:szCs w:val="28"/>
        </w:rPr>
        <w:instrText xml:space="preserve"> PAGEREF _Toc16271 \h </w:instrText>
      </w:r>
      <w:r>
        <w:rPr>
          <w:sz w:val="24"/>
          <w:szCs w:val="28"/>
        </w:rPr>
        <w:fldChar w:fldCharType="separate"/>
      </w:r>
      <w:r>
        <w:rPr>
          <w:sz w:val="24"/>
          <w:szCs w:val="28"/>
        </w:rPr>
        <w:t>69</w:t>
      </w:r>
      <w:r>
        <w:rPr>
          <w:sz w:val="24"/>
          <w:szCs w:val="28"/>
        </w:rPr>
        <w:fldChar w:fldCharType="end"/>
      </w:r>
      <w:r>
        <w:rPr>
          <w:sz w:val="24"/>
          <w:szCs w:val="28"/>
        </w:rPr>
        <w:fldChar w:fldCharType="end"/>
      </w:r>
    </w:p>
    <w:p>
      <w:pPr>
        <w:pStyle w:val="19"/>
        <w:tabs>
          <w:tab w:val="right" w:leader="dot" w:pos="8306"/>
        </w:tabs>
        <w:spacing w:line="360" w:lineRule="auto"/>
        <w:rPr>
          <w:sz w:val="24"/>
          <w:szCs w:val="28"/>
        </w:rPr>
      </w:pPr>
      <w:r>
        <w:fldChar w:fldCharType="begin"/>
      </w:r>
      <w:r>
        <w:instrText xml:space="preserve"> HYPERLINK \l "_Toc24688" </w:instrText>
      </w:r>
      <w:r>
        <w:fldChar w:fldCharType="separate"/>
      </w:r>
      <w:r>
        <w:rPr>
          <w:rFonts w:hint="eastAsia" w:ascii="黑体" w:hAnsi="黑体"/>
          <w:kern w:val="44"/>
          <w:sz w:val="24"/>
          <w:szCs w:val="40"/>
        </w:rPr>
        <w:t>第九章 强化民政事业发展规划保障</w:t>
      </w:r>
      <w:r>
        <w:rPr>
          <w:sz w:val="24"/>
          <w:szCs w:val="28"/>
        </w:rPr>
        <w:tab/>
      </w:r>
      <w:r>
        <w:rPr>
          <w:sz w:val="24"/>
          <w:szCs w:val="28"/>
        </w:rPr>
        <w:fldChar w:fldCharType="begin"/>
      </w:r>
      <w:r>
        <w:rPr>
          <w:sz w:val="24"/>
          <w:szCs w:val="28"/>
        </w:rPr>
        <w:instrText xml:space="preserve"> PAGEREF _Toc24688 \h </w:instrText>
      </w:r>
      <w:r>
        <w:rPr>
          <w:sz w:val="24"/>
          <w:szCs w:val="28"/>
        </w:rPr>
        <w:fldChar w:fldCharType="separate"/>
      </w:r>
      <w:r>
        <w:rPr>
          <w:sz w:val="24"/>
          <w:szCs w:val="28"/>
        </w:rPr>
        <w:t>71</w:t>
      </w:r>
      <w:r>
        <w:rPr>
          <w:sz w:val="24"/>
          <w:szCs w:val="28"/>
        </w:rPr>
        <w:fldChar w:fldCharType="end"/>
      </w:r>
      <w:r>
        <w:rPr>
          <w:sz w:val="24"/>
          <w:szCs w:val="28"/>
        </w:rPr>
        <w:fldChar w:fldCharType="end"/>
      </w:r>
    </w:p>
    <w:p>
      <w:pPr>
        <w:pStyle w:val="22"/>
        <w:tabs>
          <w:tab w:val="right" w:leader="dot" w:pos="8306"/>
        </w:tabs>
        <w:spacing w:line="360" w:lineRule="auto"/>
        <w:rPr>
          <w:sz w:val="24"/>
          <w:szCs w:val="28"/>
        </w:rPr>
      </w:pPr>
      <w:r>
        <w:fldChar w:fldCharType="begin"/>
      </w:r>
      <w:r>
        <w:instrText xml:space="preserve"> HYPERLINK \l "_Toc15503" </w:instrText>
      </w:r>
      <w:r>
        <w:fldChar w:fldCharType="separate"/>
      </w:r>
      <w:r>
        <w:rPr>
          <w:rFonts w:hint="eastAsia" w:ascii="楷体" w:hAnsi="楷体" w:eastAsia="楷体"/>
          <w:kern w:val="0"/>
          <w:sz w:val="24"/>
          <w:szCs w:val="40"/>
        </w:rPr>
        <w:t>第一节 加强组织领导</w:t>
      </w:r>
      <w:r>
        <w:rPr>
          <w:sz w:val="24"/>
          <w:szCs w:val="28"/>
        </w:rPr>
        <w:tab/>
      </w:r>
      <w:r>
        <w:rPr>
          <w:sz w:val="24"/>
          <w:szCs w:val="28"/>
        </w:rPr>
        <w:fldChar w:fldCharType="begin"/>
      </w:r>
      <w:r>
        <w:rPr>
          <w:sz w:val="24"/>
          <w:szCs w:val="28"/>
        </w:rPr>
        <w:instrText xml:space="preserve"> PAGEREF _Toc15503 \h </w:instrText>
      </w:r>
      <w:r>
        <w:rPr>
          <w:sz w:val="24"/>
          <w:szCs w:val="28"/>
        </w:rPr>
        <w:fldChar w:fldCharType="separate"/>
      </w:r>
      <w:r>
        <w:rPr>
          <w:sz w:val="24"/>
          <w:szCs w:val="28"/>
        </w:rPr>
        <w:t>71</w:t>
      </w:r>
      <w:r>
        <w:rPr>
          <w:sz w:val="24"/>
          <w:szCs w:val="28"/>
        </w:rPr>
        <w:fldChar w:fldCharType="end"/>
      </w:r>
      <w:r>
        <w:rPr>
          <w:sz w:val="24"/>
          <w:szCs w:val="28"/>
        </w:rPr>
        <w:fldChar w:fldCharType="end"/>
      </w:r>
    </w:p>
    <w:p>
      <w:pPr>
        <w:pStyle w:val="22"/>
        <w:tabs>
          <w:tab w:val="right" w:leader="dot" w:pos="8306"/>
        </w:tabs>
        <w:spacing w:line="360" w:lineRule="auto"/>
        <w:rPr>
          <w:sz w:val="24"/>
          <w:szCs w:val="28"/>
        </w:rPr>
      </w:pPr>
      <w:r>
        <w:fldChar w:fldCharType="begin"/>
      </w:r>
      <w:r>
        <w:instrText xml:space="preserve"> HYPERLINK \l "_Toc9570" </w:instrText>
      </w:r>
      <w:r>
        <w:fldChar w:fldCharType="separate"/>
      </w:r>
      <w:r>
        <w:rPr>
          <w:rFonts w:hint="eastAsia" w:ascii="楷体" w:hAnsi="楷体" w:eastAsia="楷体"/>
          <w:kern w:val="0"/>
          <w:sz w:val="24"/>
          <w:szCs w:val="40"/>
        </w:rPr>
        <w:t>第二节 重视规划指导</w:t>
      </w:r>
      <w:r>
        <w:rPr>
          <w:sz w:val="24"/>
          <w:szCs w:val="28"/>
        </w:rPr>
        <w:tab/>
      </w:r>
      <w:r>
        <w:rPr>
          <w:sz w:val="24"/>
          <w:szCs w:val="28"/>
        </w:rPr>
        <w:fldChar w:fldCharType="begin"/>
      </w:r>
      <w:r>
        <w:rPr>
          <w:sz w:val="24"/>
          <w:szCs w:val="28"/>
        </w:rPr>
        <w:instrText xml:space="preserve"> PAGEREF _Toc9570 \h </w:instrText>
      </w:r>
      <w:r>
        <w:rPr>
          <w:sz w:val="24"/>
          <w:szCs w:val="28"/>
        </w:rPr>
        <w:fldChar w:fldCharType="separate"/>
      </w:r>
      <w:r>
        <w:rPr>
          <w:sz w:val="24"/>
          <w:szCs w:val="28"/>
        </w:rPr>
        <w:t>72</w:t>
      </w:r>
      <w:r>
        <w:rPr>
          <w:sz w:val="24"/>
          <w:szCs w:val="28"/>
        </w:rPr>
        <w:fldChar w:fldCharType="end"/>
      </w:r>
      <w:r>
        <w:rPr>
          <w:sz w:val="24"/>
          <w:szCs w:val="28"/>
        </w:rPr>
        <w:fldChar w:fldCharType="end"/>
      </w:r>
    </w:p>
    <w:p>
      <w:pPr>
        <w:pStyle w:val="22"/>
        <w:tabs>
          <w:tab w:val="right" w:leader="dot" w:pos="8306"/>
        </w:tabs>
        <w:spacing w:line="360" w:lineRule="auto"/>
        <w:rPr>
          <w:sz w:val="24"/>
          <w:szCs w:val="28"/>
        </w:rPr>
      </w:pPr>
      <w:r>
        <w:fldChar w:fldCharType="begin"/>
      </w:r>
      <w:r>
        <w:instrText xml:space="preserve"> HYPERLINK \l "_Toc1797" </w:instrText>
      </w:r>
      <w:r>
        <w:fldChar w:fldCharType="separate"/>
      </w:r>
      <w:r>
        <w:rPr>
          <w:rFonts w:hint="eastAsia" w:ascii="楷体" w:hAnsi="楷体" w:eastAsia="楷体"/>
          <w:kern w:val="0"/>
          <w:sz w:val="24"/>
          <w:szCs w:val="40"/>
        </w:rPr>
        <w:t>第三节 强化要素保障</w:t>
      </w:r>
      <w:r>
        <w:rPr>
          <w:sz w:val="24"/>
          <w:szCs w:val="28"/>
        </w:rPr>
        <w:tab/>
      </w:r>
      <w:r>
        <w:rPr>
          <w:sz w:val="24"/>
          <w:szCs w:val="28"/>
        </w:rPr>
        <w:fldChar w:fldCharType="begin"/>
      </w:r>
      <w:r>
        <w:rPr>
          <w:sz w:val="24"/>
          <w:szCs w:val="28"/>
        </w:rPr>
        <w:instrText xml:space="preserve"> PAGEREF _Toc1797 \h </w:instrText>
      </w:r>
      <w:r>
        <w:rPr>
          <w:sz w:val="24"/>
          <w:szCs w:val="28"/>
        </w:rPr>
        <w:fldChar w:fldCharType="separate"/>
      </w:r>
      <w:r>
        <w:rPr>
          <w:sz w:val="24"/>
          <w:szCs w:val="28"/>
        </w:rPr>
        <w:t>72</w:t>
      </w:r>
      <w:r>
        <w:rPr>
          <w:sz w:val="24"/>
          <w:szCs w:val="28"/>
        </w:rPr>
        <w:fldChar w:fldCharType="end"/>
      </w:r>
      <w:r>
        <w:rPr>
          <w:sz w:val="24"/>
          <w:szCs w:val="28"/>
        </w:rPr>
        <w:fldChar w:fldCharType="end"/>
      </w:r>
    </w:p>
    <w:p>
      <w:pPr>
        <w:pStyle w:val="22"/>
        <w:tabs>
          <w:tab w:val="right" w:leader="dot" w:pos="8306"/>
        </w:tabs>
        <w:spacing w:line="360" w:lineRule="auto"/>
        <w:rPr>
          <w:sz w:val="24"/>
          <w:szCs w:val="28"/>
        </w:rPr>
      </w:pPr>
      <w:r>
        <w:fldChar w:fldCharType="begin"/>
      </w:r>
      <w:r>
        <w:instrText xml:space="preserve"> HYPERLINK \l "_Toc4790" </w:instrText>
      </w:r>
      <w:r>
        <w:fldChar w:fldCharType="separate"/>
      </w:r>
      <w:r>
        <w:rPr>
          <w:rFonts w:hint="eastAsia" w:ascii="楷体" w:hAnsi="楷体" w:eastAsia="楷体"/>
          <w:kern w:val="0"/>
          <w:sz w:val="24"/>
          <w:szCs w:val="40"/>
        </w:rPr>
        <w:t>第四节 提高实施效能</w:t>
      </w:r>
      <w:r>
        <w:rPr>
          <w:sz w:val="24"/>
          <w:szCs w:val="28"/>
        </w:rPr>
        <w:tab/>
      </w:r>
      <w:r>
        <w:rPr>
          <w:sz w:val="24"/>
          <w:szCs w:val="28"/>
        </w:rPr>
        <w:fldChar w:fldCharType="begin"/>
      </w:r>
      <w:r>
        <w:rPr>
          <w:sz w:val="24"/>
          <w:szCs w:val="28"/>
        </w:rPr>
        <w:instrText xml:space="preserve"> PAGEREF _Toc4790 \h </w:instrText>
      </w:r>
      <w:r>
        <w:rPr>
          <w:sz w:val="24"/>
          <w:szCs w:val="28"/>
        </w:rPr>
        <w:fldChar w:fldCharType="separate"/>
      </w:r>
      <w:r>
        <w:rPr>
          <w:sz w:val="24"/>
          <w:szCs w:val="28"/>
        </w:rPr>
        <w:t>73</w:t>
      </w:r>
      <w:r>
        <w:rPr>
          <w:sz w:val="24"/>
          <w:szCs w:val="28"/>
        </w:rPr>
        <w:fldChar w:fldCharType="end"/>
      </w:r>
      <w:r>
        <w:rPr>
          <w:sz w:val="24"/>
          <w:szCs w:val="28"/>
        </w:rPr>
        <w:fldChar w:fldCharType="end"/>
      </w:r>
    </w:p>
    <w:p>
      <w:pPr>
        <w:spacing w:line="360" w:lineRule="auto"/>
        <w:rPr>
          <w:sz w:val="24"/>
          <w:szCs w:val="28"/>
        </w:rPr>
      </w:pPr>
      <w:r>
        <w:rPr>
          <w:rFonts w:ascii="仿宋" w:hAnsi="仿宋" w:eastAsia="仿宋"/>
          <w:bCs/>
          <w:sz w:val="24"/>
          <w:szCs w:val="40"/>
          <w:lang w:val="zh-CN"/>
        </w:rPr>
        <w:fldChar w:fldCharType="end"/>
      </w:r>
    </w:p>
    <w:p>
      <w:pPr>
        <w:spacing w:line="360" w:lineRule="auto"/>
        <w:rPr>
          <w:rFonts w:ascii="仿宋" w:hAnsi="仿宋" w:eastAsia="仿宋"/>
          <w:sz w:val="36"/>
          <w:szCs w:val="36"/>
        </w:rPr>
      </w:pPr>
    </w:p>
    <w:p>
      <w:pPr>
        <w:ind w:firstLine="560" w:firstLineChars="200"/>
        <w:rPr>
          <w:rFonts w:ascii="仿宋" w:hAnsi="仿宋" w:eastAsia="仿宋"/>
          <w:sz w:val="28"/>
          <w:szCs w:val="28"/>
        </w:rPr>
      </w:pPr>
      <w:r>
        <w:rPr>
          <w:rFonts w:ascii="仿宋" w:hAnsi="仿宋" w:eastAsia="仿宋"/>
          <w:sz w:val="28"/>
          <w:szCs w:val="28"/>
        </w:rPr>
        <w:br w:type="page"/>
      </w:r>
    </w:p>
    <w:p>
      <w:pPr>
        <w:ind w:firstLine="640" w:firstLineChars="200"/>
        <w:rPr>
          <w:rFonts w:ascii="仿宋" w:hAnsi="仿宋" w:eastAsia="仿宋"/>
          <w:sz w:val="32"/>
          <w:szCs w:val="32"/>
        </w:rPr>
      </w:pPr>
      <w:r>
        <w:rPr>
          <w:rFonts w:hint="eastAsia" w:ascii="仿宋" w:hAnsi="仿宋" w:eastAsia="仿宋"/>
          <w:sz w:val="32"/>
          <w:szCs w:val="32"/>
        </w:rPr>
        <w:t xml:space="preserve">为明确“十四五”时期开封市民政事业发展主要目标、重要任务和重大举措，推进民政事业高质量发展，增进人民福祉，依据《民政部、国家发改委“十四五”民政事业发展规划》、《河南省“十四五”民政事业发展规划》、《河南省国民经济和社会发展第十四个五年规划和二〇三五年远景目标纲要》和《开封市国民经济和社会发展第十四个五年规划和二〇三五年远景目标纲要》，制定本规划。  </w:t>
      </w:r>
    </w:p>
    <w:p>
      <w:pPr>
        <w:ind w:firstLine="640" w:firstLineChars="200"/>
        <w:rPr>
          <w:rFonts w:ascii="仿宋" w:hAnsi="仿宋" w:eastAsia="仿宋"/>
          <w:sz w:val="32"/>
          <w:szCs w:val="32"/>
        </w:rPr>
      </w:pPr>
      <w:r>
        <w:rPr>
          <w:rFonts w:hint="eastAsia" w:ascii="仿宋" w:hAnsi="仿宋" w:eastAsia="仿宋"/>
          <w:sz w:val="32"/>
          <w:szCs w:val="32"/>
        </w:rPr>
        <w:t>本规划期间为2021年至2025年，远期展望至2035年。</w:t>
      </w:r>
    </w:p>
    <w:p>
      <w:pPr>
        <w:pStyle w:val="4"/>
        <w:spacing w:before="624" w:after="624"/>
        <w:ind w:left="0"/>
        <w:rPr>
          <w:rFonts w:ascii="黑体" w:hAnsi="黑体" w:eastAsia="黑体" w:cs="黑体"/>
          <w:sz w:val="32"/>
          <w:szCs w:val="32"/>
        </w:rPr>
      </w:pPr>
      <w:bookmarkStart w:id="0" w:name="_Toc13842"/>
      <w:bookmarkStart w:id="1" w:name="_Toc15764"/>
    </w:p>
    <w:p>
      <w:pPr>
        <w:pStyle w:val="4"/>
        <w:spacing w:before="624" w:after="624"/>
        <w:ind w:left="0"/>
        <w:rPr>
          <w:rFonts w:ascii="黑体" w:hAnsi="黑体" w:eastAsia="黑体" w:cs="黑体"/>
          <w:sz w:val="32"/>
          <w:szCs w:val="32"/>
        </w:rPr>
      </w:pPr>
    </w:p>
    <w:p>
      <w:pPr>
        <w:pStyle w:val="4"/>
        <w:spacing w:before="624" w:after="624"/>
        <w:ind w:left="0"/>
        <w:rPr>
          <w:rFonts w:ascii="黑体" w:hAnsi="黑体" w:eastAsia="黑体" w:cs="黑体"/>
          <w:sz w:val="32"/>
          <w:szCs w:val="32"/>
        </w:rPr>
      </w:pPr>
    </w:p>
    <w:p>
      <w:pPr>
        <w:pStyle w:val="4"/>
        <w:spacing w:before="624" w:after="624"/>
        <w:ind w:left="0"/>
        <w:rPr>
          <w:rFonts w:ascii="黑体" w:hAnsi="黑体" w:eastAsia="黑体" w:cs="黑体"/>
          <w:sz w:val="32"/>
          <w:szCs w:val="32"/>
        </w:rPr>
      </w:pPr>
    </w:p>
    <w:p/>
    <w:bookmarkEnd w:id="0"/>
    <w:bookmarkEnd w:id="1"/>
    <w:p>
      <w:pPr>
        <w:pStyle w:val="4"/>
        <w:spacing w:before="624" w:after="624"/>
        <w:ind w:left="0"/>
        <w:rPr>
          <w:rFonts w:ascii="黑体" w:hAnsi="黑体" w:eastAsia="黑体" w:cs="黑体"/>
          <w:sz w:val="32"/>
          <w:szCs w:val="32"/>
        </w:rPr>
      </w:pPr>
      <w:r>
        <w:rPr>
          <w:rFonts w:hint="eastAsia" w:ascii="黑体" w:hAnsi="黑体" w:eastAsia="黑体" w:cs="黑体"/>
          <w:sz w:val="32"/>
          <w:szCs w:val="32"/>
        </w:rPr>
        <w:t>第一章</w:t>
      </w:r>
      <w:bookmarkStart w:id="2" w:name="_Toc13004"/>
      <w:r>
        <w:rPr>
          <w:rFonts w:hint="eastAsia" w:ascii="黑体" w:hAnsi="黑体" w:eastAsia="黑体" w:cs="黑体"/>
          <w:sz w:val="32"/>
          <w:szCs w:val="32"/>
        </w:rPr>
        <w:t xml:space="preserve"> “十四五”民政事业规划基础与发展机遇</w:t>
      </w:r>
    </w:p>
    <w:p>
      <w:pPr>
        <w:pStyle w:val="5"/>
        <w:spacing w:before="312" w:after="312"/>
        <w:ind w:firstLine="0"/>
        <w:rPr>
          <w:rFonts w:hint="default" w:ascii="楷体" w:hAnsi="楷体" w:eastAsia="楷体"/>
          <w:b/>
          <w:bCs w:val="0"/>
          <w:sz w:val="32"/>
          <w:szCs w:val="32"/>
        </w:rPr>
      </w:pPr>
      <w:bookmarkStart w:id="3" w:name="_Toc31386"/>
      <w:r>
        <w:rPr>
          <w:rFonts w:ascii="楷体" w:hAnsi="楷体" w:eastAsia="楷体"/>
          <w:b/>
          <w:bCs w:val="0"/>
          <w:sz w:val="32"/>
          <w:szCs w:val="32"/>
        </w:rPr>
        <w:t>第一节 “十三五”时期开封市民政事业发展成效</w:t>
      </w:r>
      <w:bookmarkEnd w:id="3"/>
    </w:p>
    <w:p>
      <w:pPr>
        <w:spacing w:line="360" w:lineRule="auto"/>
        <w:ind w:firstLine="640" w:firstLineChars="200"/>
        <w:rPr>
          <w:rFonts w:ascii="仿宋" w:hAnsi="仿宋" w:eastAsia="仿宋"/>
          <w:sz w:val="32"/>
          <w:szCs w:val="32"/>
        </w:rPr>
      </w:pPr>
      <w:r>
        <w:rPr>
          <w:rFonts w:hint="eastAsia" w:ascii="仿宋" w:hAnsi="仿宋" w:eastAsia="仿宋"/>
          <w:sz w:val="32"/>
          <w:szCs w:val="32"/>
        </w:rPr>
        <w:t>“十三五”期间，开封市民政服务能力显著提升，社会救助、养老、慈善等民政服务体系建设逐渐完善，重点工程建设、专项计划实施及民政服务清单落实稳步推进，疫情防控任务圆满完成，民政服务</w:t>
      </w:r>
      <w:r>
        <w:rPr>
          <w:rFonts w:hint="eastAsia" w:ascii="仿宋" w:hAnsi="仿宋" w:eastAsia="仿宋"/>
          <w:bCs/>
          <w:kern w:val="0"/>
          <w:sz w:val="32"/>
          <w:szCs w:val="32"/>
        </w:rPr>
        <w:t>规范化、标准化与“法治民政”建设开展有序，基本完成“十三五”</w:t>
      </w:r>
      <w:r>
        <w:rPr>
          <w:rFonts w:hint="eastAsia" w:ascii="仿宋" w:hAnsi="仿宋" w:eastAsia="仿宋"/>
          <w:sz w:val="32"/>
          <w:szCs w:val="32"/>
        </w:rPr>
        <w:t>民政服务规划目标，为民政服务“十四五”规划的制定与实施奠定坚实基础。</w:t>
      </w:r>
    </w:p>
    <w:p>
      <w:pPr>
        <w:spacing w:line="360" w:lineRule="auto"/>
        <w:ind w:firstLine="643" w:firstLineChars="200"/>
        <w:rPr>
          <w:rFonts w:ascii="仿宋" w:hAnsi="仿宋" w:eastAsia="仿宋"/>
          <w:strike/>
          <w:sz w:val="32"/>
          <w:szCs w:val="32"/>
        </w:rPr>
      </w:pPr>
      <w:r>
        <w:rPr>
          <w:rFonts w:hint="eastAsia" w:ascii="仿宋" w:hAnsi="仿宋" w:eastAsia="仿宋"/>
          <w:b/>
          <w:bCs/>
          <w:sz w:val="32"/>
          <w:szCs w:val="32"/>
        </w:rPr>
        <w:t>基本民生</w:t>
      </w:r>
      <w:r>
        <w:rPr>
          <w:rFonts w:ascii="仿宋" w:hAnsi="仿宋" w:eastAsia="仿宋"/>
          <w:b/>
          <w:bCs/>
          <w:sz w:val="32"/>
          <w:szCs w:val="32"/>
        </w:rPr>
        <w:t>兜底</w:t>
      </w:r>
      <w:r>
        <w:rPr>
          <w:rFonts w:hint="eastAsia" w:ascii="仿宋" w:hAnsi="仿宋" w:eastAsia="仿宋"/>
          <w:b/>
          <w:bCs/>
          <w:sz w:val="32"/>
          <w:szCs w:val="32"/>
        </w:rPr>
        <w:t>保障工作提质增效</w:t>
      </w:r>
      <w:r>
        <w:rPr>
          <w:rFonts w:ascii="仿宋" w:hAnsi="仿宋" w:eastAsia="仿宋"/>
          <w:b/>
          <w:bCs/>
          <w:sz w:val="32"/>
          <w:szCs w:val="32"/>
        </w:rPr>
        <w:t>。</w:t>
      </w:r>
      <w:r>
        <w:rPr>
          <w:rFonts w:hint="eastAsia" w:ascii="仿宋" w:hAnsi="仿宋" w:eastAsia="仿宋"/>
          <w:sz w:val="32"/>
          <w:szCs w:val="32"/>
        </w:rPr>
        <w:t>聚焦兜底保障，健全社会救助体系，初步建立托底性民生保障制度，</w:t>
      </w:r>
      <w:r>
        <w:rPr>
          <w:rFonts w:ascii="仿宋" w:hAnsi="仿宋" w:eastAsia="仿宋"/>
          <w:sz w:val="32"/>
          <w:szCs w:val="32"/>
        </w:rPr>
        <w:t>最低生活保障制度</w:t>
      </w:r>
      <w:r>
        <w:rPr>
          <w:rFonts w:hint="eastAsia" w:ascii="仿宋" w:hAnsi="仿宋" w:eastAsia="仿宋"/>
          <w:sz w:val="32"/>
          <w:szCs w:val="32"/>
        </w:rPr>
        <w:t>日益</w:t>
      </w:r>
      <w:r>
        <w:rPr>
          <w:rFonts w:ascii="仿宋" w:hAnsi="仿宋" w:eastAsia="仿宋"/>
          <w:sz w:val="32"/>
          <w:szCs w:val="32"/>
        </w:rPr>
        <w:t>完善</w:t>
      </w:r>
      <w:r>
        <w:rPr>
          <w:rFonts w:hint="eastAsia" w:ascii="仿宋" w:hAnsi="仿宋" w:eastAsia="仿宋"/>
          <w:sz w:val="32"/>
          <w:szCs w:val="32"/>
        </w:rPr>
        <w:t>，</w:t>
      </w:r>
      <w:r>
        <w:rPr>
          <w:rFonts w:ascii="仿宋" w:hAnsi="仿宋" w:eastAsia="仿宋"/>
          <w:sz w:val="32"/>
          <w:szCs w:val="32"/>
        </w:rPr>
        <w:t>农村低保</w:t>
      </w:r>
      <w:r>
        <w:rPr>
          <w:rFonts w:hint="eastAsia" w:ascii="仿宋" w:hAnsi="仿宋" w:eastAsia="仿宋"/>
          <w:sz w:val="32"/>
          <w:szCs w:val="32"/>
        </w:rPr>
        <w:t>保障</w:t>
      </w:r>
      <w:r>
        <w:rPr>
          <w:rFonts w:ascii="仿宋" w:hAnsi="仿宋" w:eastAsia="仿宋"/>
          <w:sz w:val="32"/>
          <w:szCs w:val="32"/>
        </w:rPr>
        <w:t>标准由年人均2960元提高至4260元</w:t>
      </w:r>
      <w:r>
        <w:rPr>
          <w:rFonts w:hint="eastAsia" w:ascii="仿宋" w:hAnsi="仿宋" w:eastAsia="仿宋"/>
          <w:sz w:val="32"/>
          <w:szCs w:val="32"/>
        </w:rPr>
        <w:t>，</w:t>
      </w:r>
      <w:r>
        <w:rPr>
          <w:rFonts w:ascii="仿宋" w:hAnsi="仿宋" w:eastAsia="仿宋"/>
          <w:sz w:val="32"/>
          <w:szCs w:val="32"/>
        </w:rPr>
        <w:t>城市低保</w:t>
      </w:r>
      <w:r>
        <w:rPr>
          <w:rFonts w:hint="eastAsia" w:ascii="仿宋" w:hAnsi="仿宋" w:eastAsia="仿宋"/>
          <w:sz w:val="32"/>
          <w:szCs w:val="32"/>
        </w:rPr>
        <w:t>保障</w:t>
      </w:r>
      <w:r>
        <w:rPr>
          <w:rFonts w:ascii="仿宋" w:hAnsi="仿宋" w:eastAsia="仿宋"/>
          <w:sz w:val="32"/>
          <w:szCs w:val="32"/>
        </w:rPr>
        <w:t>标准由每人每月400元提高至570元</w:t>
      </w:r>
      <w:r>
        <w:rPr>
          <w:rFonts w:hint="eastAsia" w:ascii="仿宋" w:hAnsi="仿宋" w:eastAsia="仿宋"/>
          <w:sz w:val="32"/>
          <w:szCs w:val="32"/>
        </w:rPr>
        <w:t>。</w:t>
      </w:r>
      <w:r>
        <w:rPr>
          <w:rFonts w:ascii="仿宋" w:hAnsi="仿宋" w:eastAsia="仿宋"/>
          <w:sz w:val="32"/>
          <w:szCs w:val="32"/>
        </w:rPr>
        <w:t>城乡特困人员</w:t>
      </w:r>
      <w:r>
        <w:rPr>
          <w:rFonts w:hint="eastAsia" w:ascii="仿宋" w:hAnsi="仿宋" w:eastAsia="仿宋"/>
          <w:sz w:val="32"/>
          <w:szCs w:val="32"/>
        </w:rPr>
        <w:t>基本</w:t>
      </w:r>
      <w:r>
        <w:rPr>
          <w:rFonts w:ascii="仿宋" w:hAnsi="仿宋" w:eastAsia="仿宋"/>
          <w:sz w:val="32"/>
          <w:szCs w:val="32"/>
        </w:rPr>
        <w:t>生活标准提高</w:t>
      </w:r>
      <w:r>
        <w:rPr>
          <w:rFonts w:hint="eastAsia" w:ascii="仿宋" w:hAnsi="仿宋" w:eastAsia="仿宋"/>
          <w:sz w:val="32"/>
          <w:szCs w:val="32"/>
        </w:rPr>
        <w:t>至</w:t>
      </w:r>
      <w:r>
        <w:rPr>
          <w:rFonts w:ascii="仿宋" w:hAnsi="仿宋" w:eastAsia="仿宋"/>
          <w:sz w:val="32"/>
          <w:szCs w:val="32"/>
        </w:rPr>
        <w:t>每人每年8892元和5544元</w:t>
      </w:r>
      <w:r>
        <w:rPr>
          <w:rFonts w:hint="eastAsia" w:ascii="仿宋" w:hAnsi="仿宋" w:eastAsia="仿宋"/>
          <w:sz w:val="32"/>
          <w:szCs w:val="32"/>
        </w:rPr>
        <w:t>。</w:t>
      </w:r>
      <w:r>
        <w:rPr>
          <w:rFonts w:ascii="仿宋" w:hAnsi="仿宋" w:eastAsia="仿宋"/>
          <w:sz w:val="32"/>
          <w:szCs w:val="32"/>
        </w:rPr>
        <w:t>聚焦特殊困难群体，落实特困人员救助供养制度</w:t>
      </w:r>
      <w:r>
        <w:rPr>
          <w:rFonts w:hint="eastAsia" w:ascii="仿宋" w:hAnsi="仿宋" w:eastAsia="仿宋"/>
          <w:sz w:val="32"/>
          <w:szCs w:val="32"/>
        </w:rPr>
        <w:t>，</w:t>
      </w:r>
      <w:r>
        <w:rPr>
          <w:rFonts w:ascii="仿宋" w:hAnsi="仿宋" w:eastAsia="仿宋"/>
          <w:sz w:val="32"/>
          <w:szCs w:val="32"/>
        </w:rPr>
        <w:t>采取“五个一批”模式，推进集中供养工作</w:t>
      </w:r>
      <w:r>
        <w:rPr>
          <w:rFonts w:hint="eastAsia" w:ascii="仿宋" w:hAnsi="仿宋" w:eastAsia="仿宋"/>
          <w:sz w:val="32"/>
          <w:szCs w:val="32"/>
        </w:rPr>
        <w:t>，</w:t>
      </w:r>
      <w:r>
        <w:rPr>
          <w:rFonts w:ascii="仿宋" w:hAnsi="仿宋" w:eastAsia="仿宋"/>
          <w:sz w:val="32"/>
          <w:szCs w:val="32"/>
        </w:rPr>
        <w:t>落实临时救助制度</w:t>
      </w:r>
      <w:r>
        <w:rPr>
          <w:rFonts w:hint="eastAsia" w:ascii="仿宋" w:hAnsi="仿宋" w:eastAsia="仿宋"/>
          <w:sz w:val="32"/>
          <w:szCs w:val="32"/>
        </w:rPr>
        <w:t>，</w:t>
      </w:r>
      <w:r>
        <w:rPr>
          <w:rFonts w:ascii="仿宋" w:hAnsi="仿宋" w:eastAsia="仿宋"/>
          <w:sz w:val="32"/>
          <w:szCs w:val="32"/>
        </w:rPr>
        <w:t>社会救助能力显著提升。</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基本社会服务水平持续提升。</w:t>
      </w:r>
      <w:r>
        <w:rPr>
          <w:rFonts w:hint="eastAsia" w:ascii="仿宋" w:hAnsi="仿宋" w:eastAsia="仿宋"/>
          <w:sz w:val="32"/>
          <w:szCs w:val="32"/>
        </w:rPr>
        <w:t>深化殡葬改革，全面落实惠民殡葬政策的补贴标准。持续开展“救助管理工作服务质量大提升”专项行动，积极组织开展“寒冬送温暖”、“夏季送清凉”专项救助活动，救助流浪乞讨人员人次总数不断增加，长期滞站人员落户安置工作成绩突出。建立了全省唯一一家指纹、人脸、DNA采集和识别并可全国联网的救助站警务室。全面开展婚俗改革，基本实现了利用婚姻登记信息管理系统便捷办理相关业务，禹王台区获批河南省婚俗改革试验区，并努力推进获批国家婚俗改革试验区工作。</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福利慈善事业顺利推进</w:t>
      </w:r>
      <w:r>
        <w:rPr>
          <w:rFonts w:hint="eastAsia" w:ascii="仿宋" w:hAnsi="仿宋" w:eastAsia="仿宋"/>
          <w:sz w:val="32"/>
          <w:szCs w:val="32"/>
        </w:rPr>
        <w:t>。</w:t>
      </w:r>
      <w:r>
        <w:rPr>
          <w:rFonts w:hint="eastAsia" w:ascii="仿宋" w:hAnsi="仿宋" w:eastAsia="仿宋" w:cs="楷体"/>
          <w:sz w:val="32"/>
          <w:szCs w:val="32"/>
        </w:rPr>
        <w:t>社会救助和福利慈善体系更加健全，出台了《开封市促进慈善事业发展的意见》。</w:t>
      </w:r>
      <w:r>
        <w:rPr>
          <w:rFonts w:hint="eastAsia" w:ascii="仿宋" w:hAnsi="仿宋" w:eastAsia="仿宋"/>
          <w:sz w:val="32"/>
          <w:szCs w:val="32"/>
        </w:rPr>
        <w:t>强力推动公益慈善事业发展，</w:t>
      </w:r>
      <w:r>
        <w:rPr>
          <w:rFonts w:hint="eastAsia" w:ascii="仿宋" w:hAnsi="仿宋" w:eastAsia="仿宋" w:cs="仿宋_GB2312"/>
          <w:sz w:val="32"/>
          <w:szCs w:val="32"/>
        </w:rPr>
        <w:t>构建农村留守儿童关爱保护工作体系， 达成慈善协议捐赠3700万元，发行福利彩票12.09亿元，筹集福彩公益金7600余万元。</w:t>
      </w:r>
      <w:r>
        <w:rPr>
          <w:rFonts w:hint="eastAsia" w:ascii="仿宋" w:hAnsi="仿宋" w:eastAsia="仿宋"/>
          <w:sz w:val="32"/>
          <w:szCs w:val="32"/>
        </w:rPr>
        <w:t>中国开封SOS儿童村体制改革顺利推进，开封市福利园区改造工作强力推进。</w:t>
      </w:r>
      <w:r>
        <w:rPr>
          <w:rFonts w:hint="eastAsia" w:ascii="仿宋" w:hAnsi="仿宋" w:eastAsia="仿宋" w:cs="楷体"/>
          <w:sz w:val="32"/>
          <w:szCs w:val="32"/>
        </w:rPr>
        <w:t>聚焦特殊群体，构建完善儿童福利保障体系，</w:t>
      </w:r>
      <w:r>
        <w:rPr>
          <w:rFonts w:hint="eastAsia" w:ascii="仿宋" w:hAnsi="仿宋" w:eastAsia="仿宋" w:cs="仿宋_GB2312"/>
          <w:sz w:val="32"/>
          <w:szCs w:val="32"/>
        </w:rPr>
        <w:t>建成县级儿童福利中心4个，儿童之家、爱心家园782个，坚持实施“福彩圆梦·孤儿助学工程”和“明天计划”惠及孤残儿童3000余名。持续做好社会散居和机构养育孤儿基本生活费提标工作，由人均每月600元和1000元分别提高到950元和1350元。</w:t>
      </w:r>
    </w:p>
    <w:p>
      <w:pPr>
        <w:spacing w:line="360" w:lineRule="auto"/>
        <w:ind w:firstLine="643" w:firstLineChars="200"/>
        <w:rPr>
          <w:rFonts w:ascii="仿宋" w:hAnsi="仿宋" w:eastAsia="仿宋"/>
          <w:b/>
          <w:sz w:val="32"/>
          <w:szCs w:val="32"/>
        </w:rPr>
      </w:pPr>
      <w:r>
        <w:rPr>
          <w:rFonts w:hint="eastAsia" w:ascii="仿宋" w:hAnsi="仿宋" w:eastAsia="仿宋" w:cs="仿宋_GB2312"/>
          <w:b/>
          <w:bCs/>
          <w:sz w:val="32"/>
          <w:szCs w:val="32"/>
        </w:rPr>
        <w:t>养老服务能力显著提升</w:t>
      </w:r>
      <w:r>
        <w:rPr>
          <w:rFonts w:hint="eastAsia" w:ascii="仿宋" w:hAnsi="仿宋" w:eastAsia="仿宋" w:cs="仿宋_GB2312"/>
          <w:sz w:val="32"/>
          <w:szCs w:val="32"/>
        </w:rPr>
        <w:t>。</w:t>
      </w:r>
      <w:r>
        <w:rPr>
          <w:rFonts w:hint="eastAsia" w:ascii="仿宋" w:hAnsi="仿宋" w:eastAsia="仿宋"/>
          <w:sz w:val="32"/>
          <w:szCs w:val="32"/>
        </w:rPr>
        <w:t>积极推进养老服务体系建设，养老服务高位推进、政策体系不断完善、社区养老快速发展、智慧养老试点先行、农村养老基础夯实、养老产业创新发展、高龄津贴制度全面建立等方面成就突出。促进“居家社区机构相协调、医养康养相结合”的养老服务体系建设，全市民办养老机构115家，农村敬老院68家，街道社区养老服务设施135个，农村幸福院211个，养老床位16582张，护理型床位4540张，市区、县区均建成智慧养老服务平台，养老机构与医疗机构签订协议率达60%。全面建立80周岁以上老年人高龄津贴制度，在全省率先推行高龄津贴掌上“汴捷办”APP,累计发放高龄津贴1.37亿元，惠及老年人9.6万人。创新实施“五个一批”特困人员集中供养模式，全市共集中供养特困老人</w:t>
      </w:r>
      <w:r>
        <w:rPr>
          <w:rFonts w:hint="eastAsia" w:ascii="仿宋" w:hAnsi="仿宋" w:eastAsia="仿宋"/>
          <w:spacing w:val="-11"/>
          <w:sz w:val="32"/>
          <w:szCs w:val="32"/>
        </w:rPr>
        <w:t>7000余人，</w:t>
      </w:r>
      <w:r>
        <w:rPr>
          <w:rFonts w:ascii="仿宋" w:hAnsi="仿宋" w:eastAsia="仿宋"/>
          <w:sz w:val="32"/>
          <w:szCs w:val="32"/>
        </w:rPr>
        <w:t>全面</w:t>
      </w:r>
      <w:r>
        <w:rPr>
          <w:rFonts w:hint="eastAsia" w:ascii="仿宋" w:hAnsi="仿宋" w:eastAsia="仿宋"/>
          <w:sz w:val="32"/>
          <w:szCs w:val="32"/>
        </w:rPr>
        <w:t>开展敬老院</w:t>
      </w:r>
      <w:r>
        <w:rPr>
          <w:rFonts w:ascii="仿宋" w:hAnsi="仿宋" w:eastAsia="仿宋"/>
          <w:sz w:val="32"/>
          <w:szCs w:val="32"/>
        </w:rPr>
        <w:t>“安全、清洁、温暖、文化、康复”五大提升工程，</w:t>
      </w:r>
      <w:r>
        <w:rPr>
          <w:rFonts w:hint="eastAsia" w:ascii="仿宋" w:hAnsi="仿宋" w:eastAsia="仿宋"/>
          <w:sz w:val="32"/>
          <w:szCs w:val="32"/>
        </w:rPr>
        <w:t>打造开封市脱贫攻坚兜底保障特色亮点，被省民政厅在全省推广。</w:t>
      </w:r>
    </w:p>
    <w:p>
      <w:pPr>
        <w:spacing w:line="360" w:lineRule="auto"/>
        <w:ind w:firstLine="643" w:firstLineChars="200"/>
        <w:rPr>
          <w:rFonts w:ascii="仿宋" w:hAnsi="仿宋" w:eastAsia="仿宋" w:cs="仿宋"/>
          <w:strike/>
          <w:sz w:val="32"/>
          <w:szCs w:val="32"/>
        </w:rPr>
      </w:pPr>
      <w:r>
        <w:rPr>
          <w:rFonts w:hint="eastAsia" w:ascii="仿宋" w:hAnsi="仿宋" w:eastAsia="仿宋" w:cs="仿宋"/>
          <w:b/>
          <w:bCs/>
          <w:sz w:val="32"/>
          <w:szCs w:val="32"/>
        </w:rPr>
        <w:t>行政服务模式不断创新。</w:t>
      </w:r>
      <w:r>
        <w:rPr>
          <w:rFonts w:hint="eastAsia" w:ascii="仿宋" w:hAnsi="仿宋" w:eastAsia="仿宋" w:cs="仿宋"/>
          <w:sz w:val="32"/>
          <w:szCs w:val="32"/>
        </w:rPr>
        <w:t>深化“放管服”改革，持续改善和优化营商环境，强弱项、补短板，认真落实改革事项，在市级社会组织登记管理工作中试行告知承诺制和定期回访制，建立集成服务、联合监管、联合惩戒机制；创新监管方式，联合业务主管部门加大“双随机、一公开”抽查力度，提高抽查比例，及时督促整改发现问题。行业协会、商会与行政机关脱钩改革成效显著，全面完成179家行业协会脱钩改革任务。加快民政服务网站平台信息更新，注重相关政策法规和政策解读，及时完善办事流程，进一步提升民政服务效能。</w:t>
      </w:r>
    </w:p>
    <w:p>
      <w:pPr>
        <w:spacing w:line="360" w:lineRule="auto"/>
        <w:ind w:firstLine="643" w:firstLineChars="200"/>
        <w:rPr>
          <w:rFonts w:ascii="仿宋" w:hAnsi="仿宋" w:eastAsia="仿宋"/>
          <w:sz w:val="32"/>
          <w:szCs w:val="32"/>
        </w:rPr>
      </w:pPr>
      <w:r>
        <w:rPr>
          <w:rFonts w:hint="eastAsia" w:ascii="仿宋" w:hAnsi="仿宋" w:eastAsia="仿宋" w:cs="仿宋_GB2312"/>
          <w:b/>
          <w:bCs/>
          <w:sz w:val="32"/>
          <w:szCs w:val="32"/>
        </w:rPr>
        <w:t>依法民政机制基本健全。</w:t>
      </w:r>
      <w:r>
        <w:rPr>
          <w:rFonts w:hint="eastAsia" w:ascii="仿宋" w:hAnsi="仿宋" w:eastAsia="仿宋"/>
          <w:sz w:val="32"/>
          <w:szCs w:val="32"/>
        </w:rPr>
        <w:t>以推进“全面推进服务型行政执法建设和全面落实行政执法责任制”为着力点，完善“法治民政”政策体系建设，进一步规范行政指导和行政调解工作机制，积极推行“互联网+行政执法”新模式。深化行政审批制度改革，严格履行公众参与、专家论证、风险评估、合法性审查、集体讨论决定等重大行政决策法定程序。</w:t>
      </w:r>
    </w:p>
    <w:p>
      <w:pPr>
        <w:spacing w:line="560" w:lineRule="exact"/>
        <w:ind w:firstLine="643" w:firstLineChars="200"/>
        <w:rPr>
          <w:rFonts w:ascii="仿宋_GB2312" w:hAnsi="仿宋_GB2312" w:eastAsia="仿宋_GB2312" w:cs="仿宋_GB2312"/>
          <w:sz w:val="32"/>
          <w:szCs w:val="32"/>
        </w:rPr>
      </w:pPr>
      <w:r>
        <w:rPr>
          <w:rFonts w:hint="eastAsia" w:ascii="仿宋" w:hAnsi="仿宋" w:eastAsia="仿宋" w:cs="仿宋_GB2312"/>
          <w:b/>
          <w:bCs/>
          <w:sz w:val="32"/>
          <w:szCs w:val="32"/>
        </w:rPr>
        <w:t>党领导社区服务能力不断加强。</w:t>
      </w:r>
      <w:r>
        <w:rPr>
          <w:rFonts w:hint="eastAsia" w:ascii="仿宋" w:hAnsi="仿宋" w:eastAsia="仿宋"/>
          <w:sz w:val="32"/>
          <w:szCs w:val="32"/>
        </w:rPr>
        <w:t>加强城乡社区党组织带头人队伍建设，村（社区）“两委”正职“一肩挑”和“两委”成员交叉任职比率达到1</w:t>
      </w:r>
      <w:r>
        <w:rPr>
          <w:rFonts w:ascii="仿宋" w:hAnsi="仿宋" w:eastAsia="仿宋"/>
          <w:sz w:val="32"/>
          <w:szCs w:val="32"/>
        </w:rPr>
        <w:t>00</w:t>
      </w:r>
      <w:r>
        <w:rPr>
          <w:rFonts w:hint="eastAsia" w:ascii="仿宋" w:hAnsi="仿宋" w:eastAsia="仿宋"/>
          <w:sz w:val="32"/>
          <w:szCs w:val="32"/>
        </w:rPr>
        <w:t>%。党建引领社区服务体系建设的体制机制逐步完善，初步形成以社区党组织为核心，基层群众性自治组织为主导，社区居民为主体、社区社会组织和驻区单位共同参与的社区服务格局。</w:t>
      </w:r>
    </w:p>
    <w:p>
      <w:pPr>
        <w:spacing w:line="560" w:lineRule="exact"/>
        <w:ind w:firstLine="643" w:firstLineChars="200"/>
        <w:rPr>
          <w:rFonts w:ascii="仿宋_GB2312" w:hAnsi="仿宋_GB2312" w:eastAsia="仿宋_GB2312" w:cs="仿宋_GB2312"/>
          <w:sz w:val="32"/>
          <w:szCs w:val="32"/>
        </w:rPr>
      </w:pPr>
      <w:r>
        <w:rPr>
          <w:rFonts w:hint="eastAsia" w:ascii="仿宋" w:hAnsi="仿宋" w:eastAsia="仿宋" w:cs="仿宋_GB2312"/>
          <w:b/>
          <w:bCs/>
          <w:sz w:val="32"/>
          <w:szCs w:val="32"/>
        </w:rPr>
        <w:t>社区治理政策体系不断完善。</w:t>
      </w:r>
      <w:r>
        <w:rPr>
          <w:rFonts w:hint="eastAsia" w:ascii="仿宋" w:hAnsi="仿宋" w:eastAsia="仿宋"/>
          <w:sz w:val="32"/>
          <w:szCs w:val="32"/>
        </w:rPr>
        <w:t xml:space="preserve">市委市政府出台《关于加强新形势下城市社区建设的意见》《关于推进城乡社区协商民主规范化建设的实施意见》《关于推进社区减负增工作的实施意见》《关于加强专职社区工作者队伍建设的指导意见》，对全市城乡社区治理工作做出全面安排部署，持续加强基层群众自治机制建设，提升社区治理和服务水平。 </w:t>
      </w:r>
    </w:p>
    <w:p>
      <w:pPr>
        <w:spacing w:line="560" w:lineRule="exact"/>
        <w:ind w:firstLine="643" w:firstLineChars="200"/>
        <w:rPr>
          <w:rFonts w:ascii="仿宋" w:hAnsi="仿宋" w:eastAsia="仿宋"/>
          <w:sz w:val="32"/>
          <w:szCs w:val="32"/>
        </w:rPr>
      </w:pPr>
      <w:r>
        <w:rPr>
          <w:rFonts w:hint="eastAsia" w:ascii="仿宋" w:hAnsi="仿宋" w:eastAsia="仿宋" w:cs="仿宋_GB2312"/>
          <w:b/>
          <w:bCs/>
          <w:sz w:val="32"/>
          <w:szCs w:val="32"/>
        </w:rPr>
        <w:t>社区服务阵地不断巩固</w:t>
      </w:r>
      <w:r>
        <w:rPr>
          <w:rFonts w:ascii="仿宋" w:hAnsi="仿宋" w:eastAsia="仿宋" w:cs="仿宋_GB2312"/>
          <w:b/>
          <w:bCs/>
          <w:sz w:val="32"/>
          <w:szCs w:val="32"/>
        </w:rPr>
        <w:t>。</w:t>
      </w:r>
      <w:r>
        <w:rPr>
          <w:rFonts w:hint="eastAsia" w:ascii="仿宋" w:hAnsi="仿宋" w:eastAsia="仿宋"/>
          <w:sz w:val="32"/>
          <w:szCs w:val="32"/>
        </w:rPr>
        <w:t>以“一有八中心”规范化社区建设为抓手，将政府优质资源下沉，把面向居民群众开展的各项基本服务整合到党建、便民、综治、文体活动、卫生、老年人日间照料、儿童和志愿服务中心等八大中心内。截至2020年底，累计建成“一有八中心”规范化社区160个。城市社区综合服务设施实现全覆盖，农村社区综合服务设施覆盖率达到92%</w:t>
      </w:r>
      <w:r>
        <w:rPr>
          <w:rFonts w:ascii="仿宋" w:hAnsi="仿宋" w:eastAsia="仿宋"/>
          <w:sz w:val="32"/>
          <w:szCs w:val="32"/>
        </w:rPr>
        <w:t>。</w:t>
      </w:r>
    </w:p>
    <w:p>
      <w:pPr>
        <w:pStyle w:val="5"/>
        <w:spacing w:before="312" w:after="312"/>
        <w:rPr>
          <w:rFonts w:hint="default" w:ascii="楷体" w:hAnsi="楷体" w:eastAsia="楷体"/>
          <w:b/>
          <w:bCs w:val="0"/>
          <w:sz w:val="32"/>
          <w:szCs w:val="32"/>
        </w:rPr>
      </w:pPr>
      <w:bookmarkStart w:id="4" w:name="_Toc22942"/>
      <w:r>
        <w:rPr>
          <w:rFonts w:ascii="楷体" w:hAnsi="楷体" w:eastAsia="楷体"/>
          <w:b/>
          <w:bCs w:val="0"/>
          <w:sz w:val="32"/>
          <w:szCs w:val="32"/>
        </w:rPr>
        <w:t xml:space="preserve">第二节 </w:t>
      </w:r>
      <w:bookmarkEnd w:id="2"/>
      <w:r>
        <w:rPr>
          <w:rFonts w:ascii="楷体" w:hAnsi="楷体" w:eastAsia="楷体"/>
          <w:b/>
          <w:bCs w:val="0"/>
          <w:sz w:val="32"/>
          <w:szCs w:val="32"/>
        </w:rPr>
        <w:t>“十四五”时期面临发展机遇与挑战</w:t>
      </w:r>
      <w:bookmarkEnd w:id="4"/>
    </w:p>
    <w:p>
      <w:pPr>
        <w:spacing w:line="360" w:lineRule="auto"/>
        <w:ind w:firstLine="640" w:firstLineChars="200"/>
        <w:rPr>
          <w:rFonts w:ascii="仿宋" w:hAnsi="仿宋" w:eastAsia="仿宋"/>
          <w:sz w:val="32"/>
          <w:szCs w:val="32"/>
        </w:rPr>
      </w:pPr>
      <w:r>
        <w:rPr>
          <w:rFonts w:hint="eastAsia" w:ascii="仿宋" w:hAnsi="仿宋" w:eastAsia="仿宋"/>
          <w:sz w:val="32"/>
          <w:szCs w:val="32"/>
        </w:rPr>
        <w:t>“十四五”时期是开启全面建设社会主义现代化国家新征程、向第二个百年奋斗目标进军的第一个五年，也是全面贯彻落实积极应对人口老龄化国家战略的第一个五年，更是加快新时代民政事业高质量发展的重要战略机遇期，高质量发展、融合发展、郑开同城化战略实施、民政服务创新改革等各种发展机遇凸显，扎实推动共同富裕，实现发展成果由人民共享。</w:t>
      </w:r>
    </w:p>
    <w:p>
      <w:pPr>
        <w:spacing w:line="360" w:lineRule="auto"/>
        <w:ind w:firstLine="560"/>
        <w:rPr>
          <w:rFonts w:ascii="仿宋" w:hAnsi="仿宋" w:eastAsia="仿宋"/>
          <w:b/>
          <w:bCs/>
          <w:sz w:val="32"/>
          <w:szCs w:val="32"/>
        </w:rPr>
      </w:pPr>
      <w:r>
        <w:rPr>
          <w:rFonts w:hint="eastAsia" w:ascii="仿宋" w:hAnsi="仿宋" w:eastAsia="仿宋"/>
          <w:b/>
          <w:bCs/>
          <w:sz w:val="32"/>
          <w:szCs w:val="32"/>
        </w:rPr>
        <w:t>一、发展机遇</w:t>
      </w:r>
    </w:p>
    <w:p>
      <w:pPr>
        <w:pStyle w:val="11"/>
        <w:ind w:left="0" w:firstLine="643" w:firstLineChars="200"/>
        <w:rPr>
          <w:rFonts w:hint="default" w:ascii="仿宋" w:hAnsi="仿宋" w:eastAsia="仿宋"/>
          <w:kern w:val="2"/>
          <w:sz w:val="32"/>
          <w:szCs w:val="32"/>
          <w:lang w:eastAsia="zh-CN"/>
        </w:rPr>
      </w:pPr>
      <w:r>
        <w:rPr>
          <w:rFonts w:ascii="仿宋" w:hAnsi="仿宋" w:eastAsia="仿宋"/>
          <w:b/>
          <w:kern w:val="2"/>
          <w:sz w:val="32"/>
          <w:szCs w:val="32"/>
          <w:lang w:eastAsia="zh-CN"/>
        </w:rPr>
        <w:t>习近平总书记重要指示为新时代新阶段民政事业发展指明了新航向</w:t>
      </w:r>
      <w:r>
        <w:rPr>
          <w:rFonts w:ascii="仿宋" w:hAnsi="仿宋" w:eastAsia="仿宋"/>
          <w:kern w:val="2"/>
          <w:sz w:val="32"/>
          <w:szCs w:val="32"/>
          <w:lang w:eastAsia="zh-CN"/>
        </w:rPr>
        <w:t>。贯彻习近平总书记关于民政事业发展重要讲话精神，民政工作关系民生、连着民心，是社会建设的兜底性、基础性工作。各级民政部门要加强党的建设，坚持改革创新，聚焦特殊群体，聚焦群众关切，坚持履行基本民生保障、基层社会治理、基本社会服务等职责，为全面建设社会主义现代化国家作出新的贡献。深刻领会习近平总书记重要指示，明晰新时代民政工作的地位作用、基本职责、根本保障、发展动力和使命任务，聚焦新时代新阶段如何定位民政工作、如何做好民政工作等重大问题，明确民政事业改革发展方向。</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党中央、国务院、河南省重要决策部署为新时代新阶段民政事业发展描绘了新蓝图</w:t>
      </w:r>
      <w:r>
        <w:rPr>
          <w:rFonts w:hint="eastAsia" w:ascii="仿宋" w:hAnsi="仿宋" w:eastAsia="仿宋"/>
          <w:sz w:val="32"/>
          <w:szCs w:val="32"/>
        </w:rPr>
        <w:t>。党的十九届五中全会审议通过的《中共中央关于制定国民经济和社会发展第十四个五年规划和二〇三五年远景目标的建议》提出“建设高质量教育体系，健全多层次社会保障体系，全面推进健康中国建设，实施积极应对人口老龄化国家战略，加强和创新社会治理”等，对民政工作做出了系统性全局性安排，对民政事业发展提出了新的更高要求，党中央、国务院在一系列重要会议和文件中为民政事业发展明确了时间表、任务书、路线图。河南省民政厅对河南省民政工作做出战略部署，明确民政工作重点任务，为开封市民政事业发展指明方向。党和国家的重要决策部署对民政事业发展提出了新的更高要求，为开封市民政工作更好发挥社会建设兜底性、基础性作用作出顶层设计。</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黄河生态保护与高质量发展战略的实施为新时代新阶段民政事业发展提供了新机遇</w:t>
      </w:r>
      <w:r>
        <w:rPr>
          <w:rFonts w:hint="eastAsia" w:ascii="仿宋" w:hAnsi="仿宋" w:eastAsia="仿宋"/>
          <w:sz w:val="32"/>
          <w:szCs w:val="32"/>
        </w:rPr>
        <w:t>。</w:t>
      </w:r>
      <w:r>
        <w:rPr>
          <w:rFonts w:ascii="仿宋" w:hAnsi="仿宋" w:eastAsia="仿宋"/>
          <w:sz w:val="32"/>
          <w:szCs w:val="32"/>
        </w:rPr>
        <w:t>融合发展趋势成为民政服务创新发展的新机遇，开封市历史文化资源丰富、</w:t>
      </w:r>
      <w:r>
        <w:rPr>
          <w:rFonts w:hint="eastAsia" w:ascii="仿宋" w:hAnsi="仿宋" w:eastAsia="仿宋"/>
          <w:sz w:val="32"/>
          <w:szCs w:val="32"/>
        </w:rPr>
        <w:t>自然资源优势突出,</w:t>
      </w:r>
      <w:r>
        <w:rPr>
          <w:rFonts w:ascii="仿宋" w:hAnsi="仿宋" w:eastAsia="仿宋"/>
          <w:sz w:val="32"/>
          <w:szCs w:val="32"/>
        </w:rPr>
        <w:t>是黄河生态保护与高质量发展战略</w:t>
      </w:r>
      <w:r>
        <w:rPr>
          <w:rFonts w:hint="eastAsia" w:ascii="仿宋" w:hAnsi="仿宋" w:eastAsia="仿宋"/>
          <w:sz w:val="32"/>
          <w:szCs w:val="32"/>
        </w:rPr>
        <w:t>实施核心</w:t>
      </w:r>
      <w:r>
        <w:rPr>
          <w:rFonts w:ascii="仿宋" w:hAnsi="仿宋" w:eastAsia="仿宋"/>
          <w:sz w:val="32"/>
          <w:szCs w:val="32"/>
        </w:rPr>
        <w:t>区域，为文化旅游融合发展、体育文化与休闲服务融合发展、医疗康复与养老事业融合发展提供了重要的条件，使得开封市可以成为民政服务多重融合创新发展的重要策源地。</w:t>
      </w:r>
      <w:r>
        <w:rPr>
          <w:rFonts w:hint="eastAsia" w:ascii="仿宋" w:hAnsi="仿宋" w:eastAsia="仿宋"/>
          <w:sz w:val="32"/>
          <w:szCs w:val="32"/>
        </w:rPr>
        <w:t>把聚焦“三区一群”（郑州航空港经济综合实验区、中国河南自由贸易试验区、郑洛新国家自主创新示范区和中原城市群）建设作为构建支撑河南省未来发展的改革开放创新三大支柱，围绕郑州国家区域中心城市建设大力推进郑开同城化发展战略，开封市民政事业发展战略机遇叠加。</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新的发展阶段对新时代新阶段民政事业发展提出了新要求。</w:t>
      </w:r>
      <w:r>
        <w:rPr>
          <w:rFonts w:hint="eastAsia" w:ascii="仿宋" w:hAnsi="仿宋" w:eastAsia="仿宋"/>
          <w:sz w:val="32"/>
          <w:szCs w:val="32"/>
        </w:rPr>
        <w:t>进入新发展阶段，经济持续快速发展、人口结构深度转型，老龄化、高龄化速度不断加快，人民群众消费能力持续增强，高质量多样化的民政服务需求更加强烈。而互联网和数字化服务模式不断涌现，决策分析数据不断丰富，推动互联网创新成果与民政工作深度融合，加快发展基于互联网的各类民政服务；提升政务信息资源整合共享能力，着力提升民政大数据治理能力，着力提升政务服务创新能力，让“互联网+”成为民政事业创新发展的新引擎。保障和改善基本民生、推进基本社会服务均等普惠、加强和创新社会治理，有利于培育形成新的增长点，促进民政事业同经济发展有效衔接。</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郑开同城化发展机遇对新时代新阶段民政事业发展提供了新优势。</w:t>
      </w:r>
      <w:r>
        <w:rPr>
          <w:rFonts w:hint="eastAsia" w:ascii="仿宋" w:hAnsi="仿宋" w:eastAsia="仿宋"/>
          <w:sz w:val="32"/>
          <w:szCs w:val="32"/>
        </w:rPr>
        <w:t>依托郑开同城化政策发展机遇，积极推进郑开民政服务同城化发展。充分利用郑州国家区域中心城市建设和中原城市群建设大好机遇，大力推进郑开民政服务同城化战略的实施，带动开封市民政服务综合能力的进一步提升。</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二、面临挑战</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养老服务深层次发展挑战重重</w:t>
      </w:r>
      <w:r>
        <w:rPr>
          <w:rFonts w:hint="eastAsia" w:ascii="仿宋" w:hAnsi="仿宋" w:eastAsia="仿宋"/>
          <w:sz w:val="32"/>
          <w:szCs w:val="32"/>
        </w:rPr>
        <w:t>。当前，与老龄社会相适应的社会协同治理机制不够健全；作为养老服务核心的照护服务关注力度仍需加强，社区居家照护服务体系尚需进一步健全；养老服务市场机制改革进程中，政府保基本制度内涵外延和职责边界有待进一步厘清，普惠性和互助性服务需要强化，公共和社会资源的公平、有序、有效配置有待提升；养老服务专业化和品质仍需加强，农村养老薄弱，数字化改革助推养老服务和管理实现革命和迭代机制尚未完备，与全面放开市场相对应的监管体系尚需进一步健全。</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民政服务保障有待进一步提升。</w:t>
      </w:r>
      <w:r>
        <w:rPr>
          <w:rFonts w:hint="eastAsia" w:ascii="仿宋" w:hAnsi="仿宋" w:eastAsia="仿宋"/>
          <w:sz w:val="32"/>
          <w:szCs w:val="32"/>
        </w:rPr>
        <w:t>解决低收入群体相对贫困的有效办法还不多，服务供给和精神帮扶还不够；未成年人保护、殡葬等服务供给不足，加强和创新社会治理不够充分，与人民群众期待还有差距。民政领域立法任务仍然十分艰巨；数字化转型不够全面，制约了民政服务“码上办”群众体验提升；部分工作推进合力不足，民政服务机构管理体制不够顺畅；基层民政服务力量薄弱，乡村责任落实和工作力度不够，执法能力亟待提升；资金保障力度难以有力保障民政事业高质量发展。</w:t>
      </w:r>
    </w:p>
    <w:p>
      <w:pPr>
        <w:widowControl/>
        <w:shd w:val="clear" w:color="auto" w:fill="FFFFFF"/>
        <w:ind w:firstLine="480"/>
        <w:jc w:val="left"/>
        <w:rPr>
          <w:rFonts w:ascii="仿宋" w:hAnsi="仿宋" w:eastAsia="仿宋"/>
          <w:sz w:val="32"/>
          <w:szCs w:val="32"/>
        </w:rPr>
      </w:pPr>
      <w:r>
        <w:rPr>
          <w:rFonts w:hint="eastAsia" w:ascii="仿宋" w:hAnsi="仿宋" w:eastAsia="仿宋"/>
          <w:b/>
          <w:bCs/>
          <w:sz w:val="32"/>
          <w:szCs w:val="32"/>
        </w:rPr>
        <w:t>民政服务高质量发展水平有待提高。</w:t>
      </w:r>
      <w:r>
        <w:rPr>
          <w:rFonts w:hint="eastAsia" w:ascii="仿宋" w:hAnsi="仿宋" w:eastAsia="仿宋"/>
          <w:sz w:val="32"/>
          <w:szCs w:val="32"/>
        </w:rPr>
        <w:t>社会救助资金、资源、平台、队伍的整合度仍需提高，依托大数据的精准保障能力还不够；普惠型养老服务体系仍有待改善，居家、机构协同力度不够，医养模式融合度不足、专业化服务能力不足、养老护理人才短缺，农村养老问题凸显等；民生服务的精细化、专业化、法治化、智慧化建设与高质量发展的建设目标还有差距。</w:t>
      </w:r>
    </w:p>
    <w:p>
      <w:pPr>
        <w:pStyle w:val="4"/>
        <w:spacing w:before="624" w:after="624"/>
        <w:ind w:left="0"/>
        <w:rPr>
          <w:rFonts w:ascii="方正小标宋简体" w:hAnsi="方正小标宋简体"/>
          <w:sz w:val="32"/>
          <w:szCs w:val="32"/>
        </w:rPr>
      </w:pPr>
      <w:bookmarkStart w:id="5" w:name="_Toc6720"/>
      <w:bookmarkStart w:id="6" w:name="_Toc23978"/>
      <w:r>
        <w:rPr>
          <w:rFonts w:hint="eastAsia" w:ascii="黑体" w:hAnsi="黑体" w:eastAsia="黑体" w:cs="黑体"/>
          <w:sz w:val="32"/>
          <w:szCs w:val="32"/>
        </w:rPr>
        <w:t xml:space="preserve">第二章 </w:t>
      </w:r>
      <w:bookmarkEnd w:id="5"/>
      <w:bookmarkStart w:id="7" w:name="_Toc56524863"/>
      <w:bookmarkStart w:id="8" w:name="_Toc23116"/>
      <w:bookmarkStart w:id="9" w:name="_Toc55327814"/>
      <w:r>
        <w:rPr>
          <w:rFonts w:hint="eastAsia" w:ascii="黑体" w:hAnsi="黑体" w:eastAsia="黑体" w:cs="黑体"/>
          <w:sz w:val="32"/>
          <w:szCs w:val="32"/>
        </w:rPr>
        <w:t>“十四五”时期开封市民政事业发展总体要求</w:t>
      </w:r>
      <w:bookmarkEnd w:id="6"/>
    </w:p>
    <w:p>
      <w:pPr>
        <w:pStyle w:val="5"/>
        <w:spacing w:before="312" w:after="312"/>
        <w:rPr>
          <w:rFonts w:hint="default" w:ascii="楷体" w:hAnsi="楷体" w:eastAsia="楷体"/>
          <w:b/>
          <w:bCs w:val="0"/>
          <w:sz w:val="32"/>
          <w:szCs w:val="32"/>
        </w:rPr>
      </w:pPr>
      <w:bookmarkStart w:id="10" w:name="_Toc14700"/>
      <w:r>
        <w:rPr>
          <w:rFonts w:ascii="楷体" w:hAnsi="楷体" w:eastAsia="楷体"/>
          <w:b/>
          <w:bCs w:val="0"/>
          <w:sz w:val="32"/>
          <w:szCs w:val="32"/>
        </w:rPr>
        <w:t xml:space="preserve">第一节 </w:t>
      </w:r>
      <w:bookmarkEnd w:id="7"/>
      <w:bookmarkEnd w:id="8"/>
      <w:bookmarkEnd w:id="9"/>
      <w:r>
        <w:rPr>
          <w:rFonts w:ascii="楷体" w:hAnsi="楷体" w:eastAsia="楷体"/>
          <w:b/>
          <w:bCs w:val="0"/>
          <w:sz w:val="32"/>
          <w:szCs w:val="32"/>
        </w:rPr>
        <w:t>总体思路</w:t>
      </w:r>
      <w:bookmarkEnd w:id="10"/>
    </w:p>
    <w:p>
      <w:pPr>
        <w:spacing w:line="360" w:lineRule="auto"/>
        <w:ind w:firstLine="640" w:firstLineChars="200"/>
        <w:rPr>
          <w:rFonts w:ascii="仿宋" w:hAnsi="仿宋" w:eastAsia="仿宋"/>
          <w:sz w:val="32"/>
          <w:szCs w:val="32"/>
        </w:rPr>
      </w:pPr>
      <w:r>
        <w:rPr>
          <w:rFonts w:hint="eastAsia" w:ascii="仿宋" w:hAnsi="仿宋" w:eastAsia="仿宋"/>
          <w:sz w:val="32"/>
          <w:szCs w:val="32"/>
        </w:rPr>
        <w:t>以习近平新时代中国特色社会主义思想为指导，全面贯彻党的十九大和十九届历次全会精神，深入贯彻习近平总书记关于民政工作重要指示精神，以深化供给侧结构性改革为主线，以改革创新为根本动力，立足新发展阶段，贯彻新发展理念，构建新发展格局，以充分发挥民政工作在社会建设中的兜底性、基础性、普惠性作用为主线，按照“补短板、提质量、保民生、促发展”基本方向，围绕“13568”总体工作思路，加快完善民政服务体系，创新民政事业发展体制机制，促进民政服务高质量发展,推进民政治理体系和治理能力现代化，增进人民福祉，增强全体人民在社会主义现代化国家建设过程中的获得感和幸福感。</w:t>
      </w:r>
    </w:p>
    <w:p>
      <w:pPr>
        <w:spacing w:line="360" w:lineRule="auto"/>
        <w:ind w:firstLine="640" w:firstLineChars="200"/>
        <w:rPr>
          <w:rFonts w:ascii="仿宋" w:hAnsi="仿宋" w:eastAsia="仿宋"/>
          <w:bCs/>
          <w:sz w:val="32"/>
          <w:szCs w:val="32"/>
        </w:rPr>
      </w:pPr>
      <w:r>
        <w:rPr>
          <w:rFonts w:hint="eastAsia" w:ascii="仿宋" w:hAnsi="仿宋" w:eastAsia="仿宋"/>
          <w:bCs/>
          <w:sz w:val="32"/>
          <w:szCs w:val="32"/>
        </w:rPr>
        <w:t>“十四五”时期，开封市民政工作必须坚持以下原则：</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——坚持党的全面领导。</w:t>
      </w:r>
      <w:r>
        <w:rPr>
          <w:rFonts w:hint="eastAsia" w:ascii="仿宋" w:hAnsi="仿宋" w:eastAsia="仿宋"/>
          <w:sz w:val="32"/>
          <w:szCs w:val="32"/>
        </w:rPr>
        <w:t>党建引领，利民为本</w:t>
      </w:r>
      <w:r>
        <w:rPr>
          <w:rFonts w:hint="eastAsia" w:ascii="仿宋" w:hAnsi="仿宋" w:eastAsia="仿宋"/>
          <w:bCs/>
          <w:sz w:val="32"/>
          <w:szCs w:val="32"/>
        </w:rPr>
        <w:t>，把党的领导贯穿到民政事业发展和改革全过程，把不断满足全体人民的民政服务需求作为一切工作的出发点和落脚点，聚焦低收入家庭、老年人、儿童、残疾人等特殊群体和农村、加快发展县（区）等重点地区，强化各类保障措施的导向性、精准性和有效性。</w:t>
      </w:r>
    </w:p>
    <w:p>
      <w:pPr>
        <w:spacing w:line="360" w:lineRule="auto"/>
        <w:ind w:firstLine="643" w:firstLineChars="200"/>
        <w:rPr>
          <w:rFonts w:ascii="仿宋" w:hAnsi="仿宋" w:eastAsia="仿宋"/>
          <w:bCs/>
          <w:sz w:val="32"/>
          <w:szCs w:val="32"/>
        </w:rPr>
      </w:pPr>
      <w:r>
        <w:rPr>
          <w:rFonts w:hint="eastAsia" w:ascii="仿宋" w:hAnsi="仿宋" w:eastAsia="仿宋"/>
          <w:b/>
          <w:sz w:val="32"/>
          <w:szCs w:val="32"/>
        </w:rPr>
        <w:t>——坚持以人民为中心。</w:t>
      </w:r>
      <w:r>
        <w:rPr>
          <w:rFonts w:hint="eastAsia" w:ascii="仿宋" w:hAnsi="仿宋" w:eastAsia="仿宋"/>
          <w:bCs/>
          <w:sz w:val="32"/>
          <w:szCs w:val="32"/>
        </w:rPr>
        <w:t>聚焦巩固拓展脱贫攻坚兜底保障成果，聚焦特殊群体，科学界定基本民生保障范围，稳步提升基本社会服务水平，尽力而为、量力而行，将党和政府的惠民福祉精准送到开封市人民群众身边，为实现“全体人民共同富裕取得更为明显的实质性进展”作出新贡献。</w:t>
      </w:r>
    </w:p>
    <w:p>
      <w:pPr>
        <w:spacing w:line="360" w:lineRule="auto"/>
        <w:ind w:firstLine="643" w:firstLineChars="200"/>
        <w:rPr>
          <w:rFonts w:ascii="仿宋" w:hAnsi="仿宋" w:eastAsia="仿宋"/>
          <w:bCs/>
          <w:sz w:val="32"/>
          <w:szCs w:val="32"/>
        </w:rPr>
      </w:pPr>
      <w:r>
        <w:rPr>
          <w:rFonts w:hint="eastAsia" w:ascii="仿宋" w:hAnsi="仿宋" w:eastAsia="仿宋"/>
          <w:b/>
          <w:sz w:val="32"/>
          <w:szCs w:val="32"/>
        </w:rPr>
        <w:t>——坚持共建共治共享。</w:t>
      </w:r>
      <w:r>
        <w:rPr>
          <w:rFonts w:hint="eastAsia" w:ascii="仿宋" w:hAnsi="仿宋" w:eastAsia="仿宋"/>
          <w:bCs/>
          <w:sz w:val="32"/>
          <w:szCs w:val="32"/>
        </w:rPr>
        <w:t>充分调动广大社会组织、社会工作者、志愿者和慈善组织等社会力量，更好发挥政府作用，统筹利用各类资源，向参与主体赋能、向服务对象赋能，促进广泛参与、各负其责、互为补充、同频共振。</w:t>
      </w:r>
    </w:p>
    <w:p>
      <w:pPr>
        <w:spacing w:line="360" w:lineRule="auto"/>
        <w:ind w:firstLine="643" w:firstLineChars="200"/>
        <w:rPr>
          <w:rFonts w:ascii="仿宋" w:hAnsi="仿宋" w:eastAsia="仿宋"/>
          <w:bCs/>
          <w:sz w:val="32"/>
          <w:szCs w:val="32"/>
        </w:rPr>
      </w:pPr>
      <w:r>
        <w:rPr>
          <w:rFonts w:hint="eastAsia" w:ascii="仿宋" w:hAnsi="仿宋" w:eastAsia="仿宋"/>
          <w:b/>
          <w:sz w:val="32"/>
          <w:szCs w:val="32"/>
        </w:rPr>
        <w:t>——坚持城乡协调发展</w:t>
      </w:r>
      <w:r>
        <w:rPr>
          <w:rFonts w:hint="eastAsia" w:ascii="仿宋" w:hAnsi="仿宋" w:eastAsia="仿宋"/>
          <w:bCs/>
          <w:sz w:val="32"/>
          <w:szCs w:val="32"/>
        </w:rPr>
        <w:t>。加大民政事业城乡统筹力度，促进民政公共资源配置优化，坚持城乡联动发展，不断推进民政服务均等化，坚持民政服务事业和产业协同，发展民政服务新业态，健全应对人口老龄化社会治理机制，建立部门资源整合及服务链接机制。</w:t>
      </w:r>
    </w:p>
    <w:p>
      <w:pPr>
        <w:spacing w:line="360" w:lineRule="auto"/>
        <w:ind w:firstLine="643" w:firstLineChars="200"/>
        <w:rPr>
          <w:rFonts w:ascii="仿宋" w:hAnsi="仿宋" w:eastAsia="仿宋"/>
          <w:bCs/>
          <w:sz w:val="32"/>
          <w:szCs w:val="32"/>
        </w:rPr>
      </w:pPr>
      <w:r>
        <w:rPr>
          <w:rFonts w:hint="eastAsia" w:ascii="仿宋" w:hAnsi="仿宋" w:eastAsia="仿宋"/>
          <w:b/>
          <w:sz w:val="32"/>
          <w:szCs w:val="32"/>
        </w:rPr>
        <w:t>——坚持改革创新</w:t>
      </w:r>
      <w:r>
        <w:rPr>
          <w:rFonts w:hint="eastAsia" w:ascii="仿宋" w:hAnsi="仿宋" w:eastAsia="仿宋"/>
          <w:bCs/>
          <w:sz w:val="32"/>
          <w:szCs w:val="32"/>
        </w:rPr>
        <w:t>。聚焦群众需求，加大“放管服”改革创新力度，破除不利于民政事业科学发展的体制机制障碍。优化资源配置，推动民政工作部门协同、管理服务系统集成、服务设施综合设置、人才力量整合利用。充分发挥市场机制作用，突出市场优势，支持各类主体平等参与提供服务，形成强大供给合力。</w:t>
      </w:r>
    </w:p>
    <w:p>
      <w:pPr>
        <w:spacing w:line="360" w:lineRule="auto"/>
        <w:ind w:firstLine="643" w:firstLineChars="200"/>
        <w:rPr>
          <w:rFonts w:ascii="仿宋" w:hAnsi="仿宋" w:eastAsia="仿宋"/>
          <w:bCs/>
          <w:sz w:val="32"/>
          <w:szCs w:val="32"/>
        </w:rPr>
      </w:pPr>
      <w:r>
        <w:rPr>
          <w:rFonts w:hint="eastAsia" w:ascii="仿宋" w:hAnsi="仿宋" w:eastAsia="仿宋"/>
          <w:b/>
          <w:sz w:val="32"/>
          <w:szCs w:val="32"/>
        </w:rPr>
        <w:t>——坚持数字赋能</w:t>
      </w:r>
      <w:r>
        <w:rPr>
          <w:rFonts w:hint="eastAsia" w:ascii="仿宋" w:hAnsi="仿宋" w:eastAsia="仿宋"/>
          <w:bCs/>
          <w:sz w:val="32"/>
          <w:szCs w:val="32"/>
        </w:rPr>
        <w:t>。加强科技创新与应用，力促人工智能、物联网、云计算、大数据等新一代信息技术和智能手段在民政服务领域广泛应用，以数字化和智能化为改革引领，带动民政服务模式、服务方式及相关行业管理的迭代。以全域性数字化改革为导向，以业务和数据协同推动系统变革。</w:t>
      </w:r>
    </w:p>
    <w:tbl>
      <w:tblPr>
        <w:tblStyle w:val="26"/>
        <w:tblW w:w="8117" w:type="dxa"/>
        <w:jc w:val="center"/>
        <w:tblLayout w:type="fixed"/>
        <w:tblCellMar>
          <w:top w:w="0" w:type="dxa"/>
          <w:left w:w="0" w:type="dxa"/>
          <w:bottom w:w="0" w:type="dxa"/>
          <w:right w:w="0" w:type="dxa"/>
        </w:tblCellMar>
      </w:tblPr>
      <w:tblGrid>
        <w:gridCol w:w="8117"/>
      </w:tblGrid>
      <w:tr>
        <w:tblPrEx>
          <w:tblCellMar>
            <w:top w:w="0" w:type="dxa"/>
            <w:left w:w="0" w:type="dxa"/>
            <w:bottom w:w="0" w:type="dxa"/>
            <w:right w:w="0" w:type="dxa"/>
          </w:tblCellMar>
        </w:tblPrEx>
        <w:trPr>
          <w:trHeight w:val="640" w:hRule="atLeast"/>
          <w:jc w:val="center"/>
        </w:trPr>
        <w:tc>
          <w:tcPr>
            <w:tcW w:w="8117"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widowControl/>
              <w:wordWrap w:val="0"/>
              <w:spacing w:line="320" w:lineRule="atLeast"/>
              <w:jc w:val="center"/>
              <w:rPr>
                <w:rFonts w:ascii="黑体" w:hAnsi="黑体" w:eastAsia="黑体"/>
                <w:spacing w:val="8"/>
                <w:kern w:val="0"/>
                <w:sz w:val="24"/>
                <w:szCs w:val="24"/>
              </w:rPr>
            </w:pPr>
            <w:bookmarkStart w:id="11" w:name="_Hlk85562240"/>
            <w:r>
              <w:rPr>
                <w:rFonts w:hint="eastAsia" w:ascii="黑体" w:hAnsi="黑体" w:eastAsia="黑体" w:cs="黑体"/>
                <w:spacing w:val="8"/>
                <w:kern w:val="0"/>
                <w:sz w:val="24"/>
                <w:szCs w:val="24"/>
              </w:rPr>
              <w:t>专栏</w:t>
            </w:r>
            <w:r>
              <w:rPr>
                <w:rFonts w:ascii="黑体" w:hAnsi="黑体" w:eastAsia="黑体" w:cs="黑体"/>
                <w:spacing w:val="8"/>
                <w:kern w:val="0"/>
                <w:sz w:val="24"/>
                <w:szCs w:val="24"/>
              </w:rPr>
              <w:t>1</w:t>
            </w:r>
            <w:r>
              <w:rPr>
                <w:rFonts w:hint="eastAsia" w:ascii="黑体" w:hAnsi="黑体" w:eastAsia="黑体" w:cs="黑体"/>
                <w:spacing w:val="8"/>
                <w:kern w:val="0"/>
                <w:sz w:val="24"/>
                <w:szCs w:val="24"/>
              </w:rPr>
              <w:t>：“13568”民政服务总体工作思路</w:t>
            </w:r>
          </w:p>
        </w:tc>
      </w:tr>
      <w:tr>
        <w:tblPrEx>
          <w:tblCellMar>
            <w:top w:w="0" w:type="dxa"/>
            <w:left w:w="0" w:type="dxa"/>
            <w:bottom w:w="0" w:type="dxa"/>
            <w:right w:w="0" w:type="dxa"/>
          </w:tblCellMar>
        </w:tblPrEx>
        <w:trPr>
          <w:trHeight w:val="640" w:hRule="atLeast"/>
          <w:jc w:val="center"/>
        </w:trPr>
        <w:tc>
          <w:tcPr>
            <w:tcW w:w="8117"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widowControl/>
              <w:spacing w:line="360" w:lineRule="auto"/>
              <w:ind w:firstLine="512" w:firstLineChars="200"/>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坚持“一个中心”，即坚持以党建引领、以人民为中心，不断提升民政服务水平。统筹“三大支点”，即以基本民生保障、基层社会治理和基本社会服务为三大着力点。推进建设“五大民政服务体系”，即统筹推进基本社会服务体系、社区治理服务体系建设、建立适度普惠型服务体系、完善社会养老服务体系、健全民政法治保障体系。持续实施“六大提升工程”，即培育发展城乡社会救助提升工程、未成年人保护提升工程、基层治理能力提升工程、养老关爱服务提升工程、殡葬服务能力提升工程、智慧民政服务能力提升工程。始终做到“八个必须”，即必须始终坚持和加强党对民政工作的全面领导，为民政事业发展提供根本保证；必须坚持用科学理论指导民政工作，在学习领悟中把握民政事业发展规律；必须始终坚持围绕中心、服务大局，使民政事业与经济社会发展同频共振；必须始终坚持以人民为中心的发展思想，永葆民政为民的鲜明本色；必须始终坚持深化改革创新、破解发展难题，使民政工作紧跟时代步伐、充满生机活力；必须始终坚持传承和发扬优良传统，从民政精神文化中汲取奋进力量；必须始终坚持强基固本，全面提升履职能力，更好完成党和国家赋予的职责使命；必须始终坚持强化党的建设，有力引领和保障民政事业高质量发展。</w:t>
            </w:r>
          </w:p>
        </w:tc>
      </w:tr>
      <w:bookmarkEnd w:id="11"/>
    </w:tbl>
    <w:p>
      <w:pPr>
        <w:pStyle w:val="5"/>
        <w:spacing w:before="312" w:after="312"/>
        <w:rPr>
          <w:rFonts w:hint="default" w:ascii="楷体" w:hAnsi="楷体" w:eastAsia="楷体"/>
          <w:b/>
          <w:bCs w:val="0"/>
          <w:sz w:val="32"/>
          <w:szCs w:val="32"/>
        </w:rPr>
      </w:pPr>
      <w:bookmarkStart w:id="12" w:name="_Toc30476"/>
      <w:bookmarkStart w:id="13" w:name="_Toc19687"/>
      <w:r>
        <w:rPr>
          <w:rFonts w:ascii="楷体" w:hAnsi="楷体" w:eastAsia="楷体"/>
          <w:b/>
          <w:bCs w:val="0"/>
          <w:sz w:val="32"/>
          <w:szCs w:val="32"/>
        </w:rPr>
        <w:t>第二节 发展目标</w:t>
      </w:r>
      <w:bookmarkEnd w:id="12"/>
      <w:bookmarkEnd w:id="13"/>
    </w:p>
    <w:p>
      <w:pPr>
        <w:ind w:firstLine="643" w:firstLineChars="200"/>
        <w:rPr>
          <w:rFonts w:ascii="仿宋" w:hAnsi="仿宋" w:eastAsia="仿宋"/>
          <w:bCs/>
          <w:sz w:val="32"/>
          <w:szCs w:val="32"/>
        </w:rPr>
      </w:pPr>
      <w:r>
        <w:rPr>
          <w:rFonts w:hint="eastAsia" w:ascii="仿宋" w:hAnsi="仿宋" w:eastAsia="仿宋"/>
          <w:b/>
          <w:sz w:val="32"/>
          <w:szCs w:val="32"/>
        </w:rPr>
        <w:t>到2</w:t>
      </w:r>
      <w:r>
        <w:rPr>
          <w:rFonts w:ascii="仿宋" w:hAnsi="仿宋" w:eastAsia="仿宋"/>
          <w:b/>
          <w:sz w:val="32"/>
          <w:szCs w:val="32"/>
        </w:rPr>
        <w:t>035</w:t>
      </w:r>
      <w:r>
        <w:rPr>
          <w:rFonts w:hint="eastAsia" w:ascii="仿宋" w:hAnsi="仿宋" w:eastAsia="仿宋"/>
          <w:b/>
          <w:sz w:val="32"/>
          <w:szCs w:val="32"/>
        </w:rPr>
        <w:t>年开封民政事业发展的远景目标：</w:t>
      </w:r>
      <w:r>
        <w:rPr>
          <w:rFonts w:hint="eastAsia" w:ascii="仿宋" w:hAnsi="仿宋" w:eastAsia="仿宋"/>
          <w:bCs/>
          <w:sz w:val="32"/>
          <w:szCs w:val="32"/>
        </w:rPr>
        <w:t>对标国家基本实现社会主义现代化和2</w:t>
      </w:r>
      <w:r>
        <w:rPr>
          <w:rFonts w:ascii="仿宋" w:hAnsi="仿宋" w:eastAsia="仿宋"/>
          <w:bCs/>
          <w:sz w:val="32"/>
          <w:szCs w:val="32"/>
        </w:rPr>
        <w:t>035</w:t>
      </w:r>
      <w:r>
        <w:rPr>
          <w:rFonts w:hint="eastAsia" w:ascii="仿宋" w:hAnsi="仿宋" w:eastAsia="仿宋"/>
          <w:bCs/>
          <w:sz w:val="32"/>
          <w:szCs w:val="32"/>
        </w:rPr>
        <w:t>年国家民政事业发展远景目标，展望2</w:t>
      </w:r>
      <w:r>
        <w:rPr>
          <w:rFonts w:ascii="仿宋" w:hAnsi="仿宋" w:eastAsia="仿宋"/>
          <w:bCs/>
          <w:sz w:val="32"/>
          <w:szCs w:val="32"/>
        </w:rPr>
        <w:t>035</w:t>
      </w:r>
      <w:r>
        <w:rPr>
          <w:rFonts w:hint="eastAsia" w:ascii="仿宋" w:hAnsi="仿宋" w:eastAsia="仿宋"/>
          <w:bCs/>
          <w:sz w:val="32"/>
          <w:szCs w:val="32"/>
        </w:rPr>
        <w:t>年，以人民为中心、共建共治共享、精准高效协同、兼顾韧性和温度的民政事业高质量发展新局面全面形成；基本民生保障体系更加完善，精准覆盖全部目标群体，在推进全体人民共同富裕中提供坚实兜底保障；基层社会治理能力基本实现现代化，在治理体系和治理能力现代化建设中发挥重要基础性作用,建设全国市域社会治理现代化试点城市；基本社会服务实现更高层次、更高水平发展，成为开封基本公共服务均等化进程的重要支撑，在满足人民美好生活需要中贡献重要力量。</w:t>
      </w:r>
    </w:p>
    <w:p>
      <w:pPr>
        <w:pStyle w:val="11"/>
        <w:ind w:left="0" w:firstLine="643" w:firstLineChars="200"/>
        <w:rPr>
          <w:rFonts w:hint="default" w:ascii="仿宋" w:hAnsi="仿宋" w:eastAsia="仿宋"/>
          <w:bCs/>
          <w:kern w:val="2"/>
          <w:sz w:val="32"/>
          <w:szCs w:val="32"/>
          <w:lang w:eastAsia="zh-CN"/>
        </w:rPr>
      </w:pPr>
      <w:r>
        <w:rPr>
          <w:rFonts w:ascii="仿宋" w:hAnsi="仿宋" w:eastAsia="仿宋"/>
          <w:b/>
          <w:kern w:val="2"/>
          <w:sz w:val="32"/>
          <w:szCs w:val="32"/>
          <w:lang w:eastAsia="zh-CN"/>
        </w:rPr>
        <w:t>到2</w:t>
      </w:r>
      <w:r>
        <w:rPr>
          <w:rFonts w:hint="default" w:ascii="仿宋" w:hAnsi="仿宋" w:eastAsia="仿宋"/>
          <w:b/>
          <w:kern w:val="2"/>
          <w:sz w:val="32"/>
          <w:szCs w:val="32"/>
          <w:lang w:eastAsia="zh-CN"/>
        </w:rPr>
        <w:t>025</w:t>
      </w:r>
      <w:r>
        <w:rPr>
          <w:rFonts w:ascii="仿宋" w:hAnsi="仿宋" w:eastAsia="仿宋"/>
          <w:b/>
          <w:kern w:val="2"/>
          <w:sz w:val="32"/>
          <w:szCs w:val="32"/>
          <w:lang w:eastAsia="zh-CN"/>
        </w:rPr>
        <w:t>年开封民政事业发展主要目标：</w:t>
      </w:r>
      <w:r>
        <w:rPr>
          <w:rFonts w:ascii="仿宋" w:hAnsi="仿宋" w:eastAsia="仿宋"/>
          <w:bCs/>
          <w:kern w:val="2"/>
          <w:sz w:val="32"/>
          <w:szCs w:val="32"/>
          <w:lang w:eastAsia="zh-CN"/>
        </w:rPr>
        <w:t>民政系统党的建设全面加强，制度体系进一步健全完善，</w:t>
      </w:r>
      <w:r>
        <w:rPr>
          <w:rFonts w:ascii="仿宋" w:hAnsi="仿宋" w:eastAsia="仿宋"/>
          <w:sz w:val="32"/>
          <w:szCs w:val="32"/>
          <w:lang w:eastAsia="zh-CN"/>
        </w:rPr>
        <w:t>基本</w:t>
      </w:r>
      <w:r>
        <w:rPr>
          <w:rFonts w:ascii="仿宋" w:hAnsi="仿宋" w:eastAsia="仿宋"/>
          <w:bCs/>
          <w:sz w:val="32"/>
          <w:szCs w:val="32"/>
          <w:lang w:eastAsia="zh-CN"/>
        </w:rPr>
        <w:t>民生保障能力明显增强，基层社会治理水平显著提高，基本社会服务供给更加有效，</w:t>
      </w:r>
      <w:r>
        <w:rPr>
          <w:rFonts w:ascii="仿宋" w:hAnsi="仿宋" w:eastAsia="仿宋"/>
          <w:sz w:val="32"/>
          <w:szCs w:val="32"/>
          <w:lang w:eastAsia="zh-CN"/>
        </w:rPr>
        <w:t>智慧化民政智治水平不断提升，突出抓好“七个重点”</w:t>
      </w:r>
      <w:r>
        <w:rPr>
          <w:rFonts w:ascii="仿宋" w:hAnsi="仿宋" w:eastAsia="仿宋"/>
          <w:bCs/>
          <w:sz w:val="32"/>
          <w:szCs w:val="32"/>
          <w:lang w:eastAsia="zh-CN"/>
        </w:rPr>
        <w:t>，</w:t>
      </w:r>
      <w:r>
        <w:rPr>
          <w:rFonts w:ascii="仿宋" w:hAnsi="仿宋" w:eastAsia="仿宋"/>
          <w:sz w:val="32"/>
          <w:szCs w:val="32"/>
          <w:lang w:eastAsia="zh-CN"/>
        </w:rPr>
        <w:t>积极融入郑开同城化战略，认真贯彻黄河生态保护与高质量发展战略，</w:t>
      </w:r>
      <w:r>
        <w:rPr>
          <w:rFonts w:ascii="仿宋" w:hAnsi="仿宋" w:eastAsia="仿宋"/>
          <w:bCs/>
          <w:sz w:val="32"/>
          <w:szCs w:val="32"/>
          <w:lang w:eastAsia="zh-CN"/>
        </w:rPr>
        <w:t>制度更加完备、体系更加健全、覆盖更加广泛、功能更加强大的现代化民政事业发展体系基本构建，着力打造数字民政、品质民政、法制民政、务实民政、责任民政“五个民政”。</w:t>
      </w:r>
      <w:r>
        <w:rPr>
          <w:rFonts w:ascii="仿宋" w:hAnsi="仿宋" w:eastAsia="仿宋"/>
          <w:sz w:val="32"/>
          <w:szCs w:val="32"/>
          <w:lang w:eastAsia="zh-CN"/>
        </w:rPr>
        <w:t>至2025年，民政服务“开封模式”效果更加明显，沿黄休闲康养民政服务发展空间基本打开，郑开同城化示范区民政服务高地初步建立。</w:t>
      </w:r>
    </w:p>
    <w:p>
      <w:pPr>
        <w:spacing w:line="360" w:lineRule="auto"/>
        <w:ind w:firstLine="643" w:firstLineChars="200"/>
        <w:rPr>
          <w:rFonts w:ascii="仿宋" w:hAnsi="仿宋" w:eastAsia="仿宋"/>
          <w:bCs/>
          <w:sz w:val="32"/>
          <w:szCs w:val="32"/>
        </w:rPr>
      </w:pPr>
      <w:r>
        <w:rPr>
          <w:rFonts w:hint="eastAsia" w:ascii="仿宋" w:hAnsi="仿宋" w:eastAsia="仿宋"/>
          <w:b/>
          <w:bCs/>
          <w:sz w:val="32"/>
          <w:szCs w:val="32"/>
        </w:rPr>
        <w:t>——基本民生保障更加有力。</w:t>
      </w:r>
      <w:r>
        <w:rPr>
          <w:rFonts w:hint="eastAsia" w:ascii="仿宋" w:hAnsi="仿宋" w:eastAsia="仿宋"/>
          <w:sz w:val="32"/>
          <w:szCs w:val="32"/>
        </w:rPr>
        <w:t>积极构建以基本生活救助为基础、专项社会救助为支撑、急难社会救助为辅助、社会力量参与为补充的分层分类救助体系，着力完善常态化可持续兜底保障机制，巩固提升脱贫攻坚兜底保障成果，实</w:t>
      </w:r>
      <w:r>
        <w:rPr>
          <w:rFonts w:hint="eastAsia" w:ascii="仿宋" w:hAnsi="仿宋" w:eastAsia="仿宋"/>
          <w:bCs/>
          <w:sz w:val="32"/>
          <w:szCs w:val="32"/>
        </w:rPr>
        <w:t>现巩固拓展脱贫攻坚兜底保障成果同乡村振兴有效衔接，社会救助兜底保障功能有效发挥。分层分类的社会救助制度体系不断完善，综合救助格局基本形成。社会福利保障制度更加完善，保障范围进一步拓展，人民群众更多享受到与经济社会发展相适应的社会福利服务。至2</w:t>
      </w:r>
      <w:r>
        <w:rPr>
          <w:rFonts w:ascii="仿宋" w:hAnsi="仿宋" w:eastAsia="仿宋"/>
          <w:bCs/>
          <w:sz w:val="32"/>
          <w:szCs w:val="32"/>
        </w:rPr>
        <w:t>025</w:t>
      </w:r>
      <w:r>
        <w:rPr>
          <w:rFonts w:hint="eastAsia" w:ascii="仿宋" w:hAnsi="仿宋" w:eastAsia="仿宋"/>
          <w:bCs/>
          <w:sz w:val="32"/>
          <w:szCs w:val="32"/>
        </w:rPr>
        <w:t>年，完成开封市城市区及兰考县、杞县、尉氏县、通许县、祥符区救助管理站设施改造提升工作。</w:t>
      </w:r>
    </w:p>
    <w:p>
      <w:pPr>
        <w:spacing w:line="360" w:lineRule="auto"/>
        <w:ind w:firstLine="643" w:firstLineChars="200"/>
        <w:rPr>
          <w:rFonts w:ascii="仿宋" w:hAnsi="仿宋" w:eastAsia="仿宋"/>
          <w:bCs/>
          <w:sz w:val="32"/>
          <w:szCs w:val="32"/>
        </w:rPr>
      </w:pPr>
      <w:r>
        <w:rPr>
          <w:rFonts w:hint="eastAsia" w:ascii="仿宋" w:hAnsi="仿宋" w:eastAsia="仿宋"/>
          <w:b/>
          <w:sz w:val="32"/>
          <w:szCs w:val="32"/>
        </w:rPr>
        <w:t>——基层社会治理更加有序。</w:t>
      </w:r>
      <w:r>
        <w:rPr>
          <w:rFonts w:hint="eastAsia" w:ascii="仿宋" w:hAnsi="仿宋" w:eastAsia="仿宋"/>
          <w:bCs/>
          <w:sz w:val="32"/>
          <w:szCs w:val="32"/>
        </w:rPr>
        <w:t>党组织领导的政治、自治、法治、德治、智治相结合的城乡社区治理体系和工作机制不断健全，不断夯实基层基础，以党建引领城市有机更新“生活圈”建设为抓手，建设高标准规范化党群社区综合服务体。深化社区、社区社会组织、社会工作者、社区志愿者、社区公益慈善资源“五社联动”，推动形成共建共享治理格局。形成社会组织健康有序发展的格局，加大社会组织孵化培育力度，严厉打击非法社会组织。加强社会工作专业人才队伍建设，建设一支结构合理、素质优良、覆盖城乡的社工人才队伍。全面加强地名管理，稳步推进行政区划和界线管理。</w:t>
      </w:r>
    </w:p>
    <w:p>
      <w:pPr>
        <w:spacing w:line="360" w:lineRule="auto"/>
        <w:ind w:firstLine="643" w:firstLineChars="200"/>
        <w:rPr>
          <w:rFonts w:ascii="仿宋" w:hAnsi="仿宋" w:eastAsia="仿宋" w:cs="宋体"/>
          <w:bCs/>
          <w:sz w:val="32"/>
          <w:szCs w:val="32"/>
        </w:rPr>
      </w:pPr>
      <w:r>
        <w:rPr>
          <w:rFonts w:hint="eastAsia" w:ascii="仿宋" w:hAnsi="仿宋" w:eastAsia="仿宋" w:cs="宋体"/>
          <w:b/>
          <w:sz w:val="32"/>
          <w:szCs w:val="32"/>
        </w:rPr>
        <w:t>——基本社会服务更加有效。</w:t>
      </w:r>
      <w:r>
        <w:rPr>
          <w:rFonts w:hint="eastAsia" w:ascii="仿宋" w:hAnsi="仿宋" w:eastAsia="仿宋" w:cs="宋体"/>
          <w:bCs/>
          <w:sz w:val="32"/>
          <w:szCs w:val="32"/>
        </w:rPr>
        <w:t>养老服务体系不断完善，“百千万幸福养老工程”全面实施，基本养老服务制度全面建立，智慧养老服务创新发展，医养、康养、社区养老相融合的多样、多层次养老体系基本构建，至2025年，将开封市打造成为河南省智慧养老示范基地。创新规范社会事务管理，殡葬设施建设成绩显著，殡葬改革工作稳步推进，殡葬服务能力和水平全面提升，惠民、节俭、绿色、文明的殡葬服务体系基本建立，人民群众殡葬需求得到较好满足。婚俗改革工作成效明显，婚姻登记“全国通办”试点工作稳妥推进，禹王台国家婚俗改革试验区、祥符区和城乡一体化示范区河南省婚俗改革试验区建设取得重要成就。救助管理工作高质量推进，残疾人权益保障服务水平切实提升，推动康复辅助器具产业发展。孤儿、事实无人抚养儿童、困境儿童、留守妇女、儿童保障政策得到落实，未成年人保护工作积极推进，儿童救助领域信息化管理成效明显。“放管服”改革持续深化，民政服务更加便捷，民政数据互通共享成果显著，民政服务智能精准程度不断提高。</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3397"/>
        <w:gridCol w:w="1134"/>
        <w:gridCol w:w="2131"/>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7" w:type="dxa"/>
            <w:gridSpan w:val="5"/>
          </w:tcPr>
          <w:p>
            <w:pPr>
              <w:jc w:val="center"/>
              <w:rPr>
                <w:rStyle w:val="29"/>
                <w:rFonts w:ascii="黑体" w:hAnsi="黑体" w:eastAsia="黑体" w:cs="仿宋_GB2312"/>
                <w:sz w:val="24"/>
                <w:szCs w:val="24"/>
              </w:rPr>
            </w:pPr>
            <w:r>
              <w:rPr>
                <w:rFonts w:hint="eastAsia" w:ascii="黑体" w:hAnsi="黑体" w:eastAsia="黑体" w:cs="黑体"/>
                <w:spacing w:val="8"/>
                <w:kern w:val="0"/>
                <w:sz w:val="24"/>
                <w:szCs w:val="24"/>
              </w:rPr>
              <w:t>专栏2：“十四五”时期开封市民政事业发展主要指标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jc w:val="center"/>
              <w:rPr>
                <w:rStyle w:val="29"/>
                <w:rFonts w:ascii="宋体" w:hAnsi="宋体" w:cs="仿宋_GB2312"/>
                <w:b w:val="0"/>
                <w:sz w:val="24"/>
                <w:szCs w:val="24"/>
              </w:rPr>
            </w:pPr>
            <w:r>
              <w:rPr>
                <w:rFonts w:hint="eastAsia" w:ascii="宋体" w:hAnsi="宋体" w:cs="仿宋_GB2312"/>
                <w:b/>
                <w:bCs/>
                <w:spacing w:val="8"/>
                <w:kern w:val="0"/>
                <w:sz w:val="24"/>
                <w:szCs w:val="24"/>
              </w:rPr>
              <w:t>序号</w:t>
            </w:r>
          </w:p>
        </w:tc>
        <w:tc>
          <w:tcPr>
            <w:tcW w:w="3397" w:type="dxa"/>
            <w:vAlign w:val="center"/>
          </w:tcPr>
          <w:p>
            <w:pPr>
              <w:jc w:val="center"/>
              <w:rPr>
                <w:rStyle w:val="29"/>
                <w:rFonts w:ascii="仿宋" w:hAnsi="仿宋" w:eastAsia="仿宋" w:cs="仿宋_GB2312"/>
                <w:b w:val="0"/>
                <w:sz w:val="24"/>
                <w:szCs w:val="24"/>
              </w:rPr>
            </w:pPr>
            <w:r>
              <w:rPr>
                <w:rFonts w:hint="eastAsia" w:ascii="仿宋" w:hAnsi="仿宋" w:eastAsia="仿宋" w:cs="仿宋_GB2312"/>
                <w:b/>
                <w:bCs/>
                <w:spacing w:val="8"/>
                <w:kern w:val="0"/>
                <w:sz w:val="24"/>
                <w:szCs w:val="24"/>
              </w:rPr>
              <w:t>主要指标</w:t>
            </w:r>
          </w:p>
        </w:tc>
        <w:tc>
          <w:tcPr>
            <w:tcW w:w="1134" w:type="dxa"/>
            <w:vAlign w:val="center"/>
          </w:tcPr>
          <w:p>
            <w:pPr>
              <w:widowControl/>
              <w:wordWrap w:val="0"/>
              <w:spacing w:line="320" w:lineRule="exact"/>
              <w:jc w:val="center"/>
              <w:rPr>
                <w:rFonts w:ascii="仿宋" w:hAnsi="仿宋" w:eastAsia="仿宋" w:cs="仿宋_GB2312"/>
                <w:b/>
                <w:bCs/>
                <w:spacing w:val="8"/>
                <w:kern w:val="0"/>
                <w:sz w:val="24"/>
                <w:szCs w:val="24"/>
              </w:rPr>
            </w:pPr>
            <w:r>
              <w:rPr>
                <w:rFonts w:hint="eastAsia" w:ascii="仿宋" w:hAnsi="仿宋" w:eastAsia="仿宋" w:cs="仿宋_GB2312"/>
                <w:b/>
                <w:bCs/>
                <w:spacing w:val="8"/>
                <w:kern w:val="0"/>
                <w:sz w:val="24"/>
                <w:szCs w:val="24"/>
              </w:rPr>
              <w:t>2020年</w:t>
            </w:r>
          </w:p>
          <w:p>
            <w:pPr>
              <w:jc w:val="center"/>
              <w:rPr>
                <w:rStyle w:val="29"/>
                <w:rFonts w:ascii="仿宋" w:hAnsi="仿宋" w:eastAsia="仿宋" w:cs="仿宋_GB2312"/>
                <w:b w:val="0"/>
                <w:sz w:val="24"/>
                <w:szCs w:val="24"/>
              </w:rPr>
            </w:pPr>
            <w:r>
              <w:rPr>
                <w:rFonts w:hint="eastAsia" w:ascii="仿宋" w:hAnsi="仿宋" w:eastAsia="仿宋" w:cs="仿宋_GB2312"/>
                <w:b/>
                <w:bCs/>
                <w:spacing w:val="8"/>
                <w:kern w:val="0"/>
                <w:sz w:val="24"/>
                <w:szCs w:val="24"/>
              </w:rPr>
              <w:t>基础值</w:t>
            </w:r>
          </w:p>
        </w:tc>
        <w:tc>
          <w:tcPr>
            <w:tcW w:w="2131" w:type="dxa"/>
            <w:vAlign w:val="center"/>
          </w:tcPr>
          <w:p>
            <w:pPr>
              <w:widowControl/>
              <w:wordWrap w:val="0"/>
              <w:spacing w:line="320" w:lineRule="exact"/>
              <w:jc w:val="center"/>
              <w:rPr>
                <w:rFonts w:ascii="仿宋" w:hAnsi="仿宋" w:eastAsia="仿宋" w:cs="仿宋_GB2312"/>
                <w:b/>
                <w:bCs/>
                <w:spacing w:val="8"/>
                <w:kern w:val="0"/>
                <w:sz w:val="24"/>
                <w:szCs w:val="24"/>
              </w:rPr>
            </w:pPr>
            <w:r>
              <w:rPr>
                <w:rFonts w:hint="eastAsia" w:ascii="仿宋" w:hAnsi="仿宋" w:eastAsia="仿宋" w:cs="仿宋_GB2312"/>
                <w:b/>
                <w:bCs/>
                <w:spacing w:val="8"/>
                <w:kern w:val="0"/>
                <w:sz w:val="24"/>
                <w:szCs w:val="24"/>
              </w:rPr>
              <w:t>2025</w:t>
            </w:r>
          </w:p>
          <w:p>
            <w:pPr>
              <w:jc w:val="center"/>
              <w:rPr>
                <w:rStyle w:val="29"/>
                <w:rFonts w:ascii="仿宋" w:hAnsi="仿宋" w:eastAsia="仿宋" w:cs="仿宋_GB2312"/>
                <w:b w:val="0"/>
                <w:sz w:val="24"/>
                <w:szCs w:val="24"/>
              </w:rPr>
            </w:pPr>
            <w:r>
              <w:rPr>
                <w:rFonts w:hint="eastAsia" w:ascii="仿宋" w:hAnsi="仿宋" w:eastAsia="仿宋" w:cs="仿宋_GB2312"/>
                <w:b/>
                <w:bCs/>
                <w:spacing w:val="8"/>
                <w:kern w:val="0"/>
                <w:sz w:val="24"/>
                <w:szCs w:val="24"/>
              </w:rPr>
              <w:t>目标值</w:t>
            </w:r>
          </w:p>
        </w:tc>
        <w:tc>
          <w:tcPr>
            <w:tcW w:w="1018" w:type="dxa"/>
            <w:vAlign w:val="center"/>
          </w:tcPr>
          <w:p>
            <w:pPr>
              <w:widowControl/>
              <w:wordWrap w:val="0"/>
              <w:spacing w:line="320" w:lineRule="exact"/>
              <w:jc w:val="center"/>
              <w:rPr>
                <w:rFonts w:ascii="仿宋" w:hAnsi="仿宋" w:eastAsia="仿宋" w:cs="仿宋_GB2312"/>
                <w:b/>
                <w:bCs/>
                <w:spacing w:val="8"/>
                <w:kern w:val="0"/>
                <w:sz w:val="24"/>
                <w:szCs w:val="24"/>
              </w:rPr>
            </w:pPr>
            <w:r>
              <w:rPr>
                <w:rFonts w:hint="eastAsia" w:ascii="仿宋" w:hAnsi="仿宋" w:eastAsia="仿宋" w:cs="仿宋_GB2312"/>
                <w:b/>
                <w:bCs/>
                <w:spacing w:val="8"/>
                <w:kern w:val="0"/>
                <w:sz w:val="24"/>
                <w:szCs w:val="24"/>
              </w:rPr>
              <w:t>指标</w:t>
            </w:r>
          </w:p>
          <w:p>
            <w:pPr>
              <w:jc w:val="center"/>
              <w:rPr>
                <w:rStyle w:val="29"/>
                <w:rFonts w:ascii="仿宋" w:hAnsi="仿宋" w:eastAsia="仿宋" w:cs="仿宋_GB2312"/>
                <w:b w:val="0"/>
                <w:sz w:val="24"/>
                <w:szCs w:val="24"/>
              </w:rPr>
            </w:pPr>
            <w:r>
              <w:rPr>
                <w:rFonts w:hint="eastAsia" w:ascii="仿宋" w:hAnsi="仿宋" w:eastAsia="仿宋" w:cs="仿宋_GB2312"/>
                <w:b/>
                <w:bCs/>
                <w:spacing w:val="8"/>
                <w:kern w:val="0"/>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jc w:val="center"/>
              <w:rPr>
                <w:rStyle w:val="29"/>
                <w:rFonts w:ascii="宋体" w:hAnsi="宋体" w:cs="仿宋_GB2312"/>
                <w:b w:val="0"/>
                <w:sz w:val="24"/>
                <w:szCs w:val="24"/>
              </w:rPr>
            </w:pPr>
            <w:r>
              <w:rPr>
                <w:rFonts w:hint="eastAsia" w:ascii="宋体" w:hAnsi="宋体" w:cs="仿宋_GB2312"/>
                <w:spacing w:val="8"/>
                <w:kern w:val="0"/>
                <w:sz w:val="24"/>
                <w:szCs w:val="24"/>
              </w:rPr>
              <w:t>1</w:t>
            </w:r>
          </w:p>
        </w:tc>
        <w:tc>
          <w:tcPr>
            <w:tcW w:w="3397" w:type="dxa"/>
            <w:vAlign w:val="center"/>
          </w:tcPr>
          <w:p>
            <w:pPr>
              <w:rPr>
                <w:rStyle w:val="29"/>
                <w:rFonts w:ascii="仿宋" w:hAnsi="仿宋" w:eastAsia="仿宋" w:cs="仿宋_GB2312"/>
                <w:b w:val="0"/>
                <w:sz w:val="24"/>
                <w:szCs w:val="24"/>
              </w:rPr>
            </w:pPr>
            <w:r>
              <w:rPr>
                <w:rFonts w:hint="eastAsia" w:ascii="仿宋" w:hAnsi="仿宋" w:eastAsia="仿宋" w:cs="仿宋_GB2312"/>
                <w:spacing w:val="8"/>
                <w:kern w:val="0"/>
                <w:sz w:val="24"/>
                <w:szCs w:val="24"/>
              </w:rPr>
              <w:t>城乡低保标准年度增速（%）</w:t>
            </w:r>
          </w:p>
        </w:tc>
        <w:tc>
          <w:tcPr>
            <w:tcW w:w="1134" w:type="dxa"/>
            <w:vAlign w:val="center"/>
          </w:tcPr>
          <w:p>
            <w:pPr>
              <w:jc w:val="center"/>
              <w:rPr>
                <w:rStyle w:val="29"/>
                <w:rFonts w:ascii="仿宋" w:hAnsi="仿宋" w:eastAsia="仿宋" w:cs="仿宋_GB2312"/>
                <w:b w:val="0"/>
                <w:sz w:val="24"/>
                <w:szCs w:val="24"/>
              </w:rPr>
            </w:pPr>
            <w:r>
              <w:rPr>
                <w:rFonts w:hint="eastAsia" w:ascii="仿宋" w:hAnsi="仿宋" w:eastAsia="仿宋" w:cs="仿宋_GB2312"/>
                <w:spacing w:val="8"/>
                <w:kern w:val="0"/>
                <w:sz w:val="24"/>
                <w:szCs w:val="24"/>
              </w:rPr>
              <w:t>4</w:t>
            </w:r>
            <w:r>
              <w:rPr>
                <w:rFonts w:ascii="仿宋" w:hAnsi="仿宋" w:eastAsia="仿宋" w:cs="仿宋_GB2312"/>
                <w:spacing w:val="8"/>
                <w:kern w:val="0"/>
                <w:sz w:val="24"/>
                <w:szCs w:val="24"/>
              </w:rPr>
              <w:t>2.5</w:t>
            </w:r>
          </w:p>
        </w:tc>
        <w:tc>
          <w:tcPr>
            <w:tcW w:w="2131" w:type="dxa"/>
            <w:vAlign w:val="center"/>
          </w:tcPr>
          <w:p>
            <w:pPr>
              <w:jc w:val="center"/>
              <w:rPr>
                <w:rStyle w:val="29"/>
                <w:rFonts w:ascii="仿宋" w:hAnsi="仿宋" w:eastAsia="仿宋" w:cs="仿宋_GB2312"/>
                <w:b w:val="0"/>
                <w:sz w:val="24"/>
                <w:szCs w:val="24"/>
              </w:rPr>
            </w:pPr>
            <w:r>
              <w:rPr>
                <w:rFonts w:hint="eastAsia" w:ascii="仿宋" w:hAnsi="仿宋" w:eastAsia="仿宋" w:cs="仿宋_GB2312"/>
                <w:spacing w:val="8"/>
                <w:kern w:val="0"/>
                <w:sz w:val="24"/>
                <w:szCs w:val="24"/>
              </w:rPr>
              <w:t>不低于居民上年度人均消费支出增速</w:t>
            </w:r>
          </w:p>
        </w:tc>
        <w:tc>
          <w:tcPr>
            <w:tcW w:w="1018" w:type="dxa"/>
            <w:vAlign w:val="center"/>
          </w:tcPr>
          <w:p>
            <w:pPr>
              <w:rPr>
                <w:rStyle w:val="29"/>
                <w:rFonts w:ascii="仿宋" w:hAnsi="仿宋" w:eastAsia="仿宋" w:cs="仿宋_GB2312"/>
                <w:b w:val="0"/>
                <w:sz w:val="24"/>
                <w:szCs w:val="24"/>
              </w:rPr>
            </w:pPr>
            <w:r>
              <w:rPr>
                <w:rFonts w:hint="eastAsia" w:ascii="仿宋" w:hAnsi="仿宋" w:eastAsia="仿宋" w:cs="仿宋_GB2312"/>
                <w:spacing w:val="8"/>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jc w:val="center"/>
              <w:rPr>
                <w:rStyle w:val="29"/>
                <w:rFonts w:ascii="宋体" w:hAnsi="宋体" w:cs="仿宋_GB2312"/>
                <w:b w:val="0"/>
                <w:sz w:val="24"/>
                <w:szCs w:val="24"/>
              </w:rPr>
            </w:pPr>
            <w:r>
              <w:rPr>
                <w:spacing w:val="8"/>
                <w:kern w:val="0"/>
                <w:sz w:val="24"/>
                <w:szCs w:val="24"/>
              </w:rPr>
              <w:t>2</w:t>
            </w:r>
          </w:p>
        </w:tc>
        <w:tc>
          <w:tcPr>
            <w:tcW w:w="3397" w:type="dxa"/>
            <w:vAlign w:val="center"/>
          </w:tcPr>
          <w:p>
            <w:pPr>
              <w:rPr>
                <w:rStyle w:val="29"/>
                <w:rFonts w:ascii="仿宋" w:hAnsi="仿宋" w:eastAsia="仿宋" w:cs="仿宋_GB2312"/>
                <w:b w:val="0"/>
                <w:sz w:val="24"/>
                <w:szCs w:val="24"/>
              </w:rPr>
            </w:pPr>
            <w:r>
              <w:rPr>
                <w:rFonts w:hint="eastAsia" w:ascii="仿宋" w:hAnsi="仿宋" w:eastAsia="仿宋" w:cs="仿宋_GB2312"/>
                <w:spacing w:val="8"/>
                <w:kern w:val="0"/>
                <w:sz w:val="24"/>
                <w:szCs w:val="24"/>
              </w:rPr>
              <w:t>特困人员基本</w:t>
            </w:r>
            <w:r>
              <w:rPr>
                <w:rFonts w:ascii="仿宋" w:hAnsi="仿宋" w:eastAsia="仿宋" w:cs="仿宋_GB2312"/>
                <w:spacing w:val="8"/>
                <w:kern w:val="0"/>
                <w:sz w:val="24"/>
                <w:szCs w:val="24"/>
              </w:rPr>
              <w:t>生活标准</w:t>
            </w:r>
          </w:p>
        </w:tc>
        <w:tc>
          <w:tcPr>
            <w:tcW w:w="1134" w:type="dxa"/>
            <w:vAlign w:val="center"/>
          </w:tcPr>
          <w:p>
            <w:pPr>
              <w:jc w:val="center"/>
              <w:rPr>
                <w:rStyle w:val="29"/>
                <w:rFonts w:ascii="仿宋" w:hAnsi="仿宋" w:eastAsia="仿宋" w:cs="仿宋_GB2312"/>
                <w:b w:val="0"/>
                <w:sz w:val="24"/>
                <w:szCs w:val="24"/>
              </w:rPr>
            </w:pPr>
            <w:r>
              <w:rPr>
                <w:rFonts w:hint="eastAsia" w:ascii="仿宋" w:hAnsi="仿宋" w:eastAsia="仿宋" w:cs="仿宋_GB2312"/>
                <w:spacing w:val="8"/>
                <w:kern w:val="0"/>
                <w:sz w:val="24"/>
                <w:szCs w:val="24"/>
              </w:rPr>
              <w:t>8</w:t>
            </w:r>
            <w:r>
              <w:rPr>
                <w:rFonts w:ascii="仿宋" w:hAnsi="仿宋" w:eastAsia="仿宋" w:cs="仿宋_GB2312"/>
                <w:spacing w:val="8"/>
                <w:kern w:val="0"/>
                <w:sz w:val="24"/>
                <w:szCs w:val="24"/>
              </w:rPr>
              <w:t>892</w:t>
            </w:r>
          </w:p>
        </w:tc>
        <w:tc>
          <w:tcPr>
            <w:tcW w:w="2131" w:type="dxa"/>
            <w:vAlign w:val="center"/>
          </w:tcPr>
          <w:p>
            <w:pPr>
              <w:jc w:val="center"/>
              <w:rPr>
                <w:rStyle w:val="29"/>
                <w:rFonts w:ascii="仿宋" w:hAnsi="仿宋" w:eastAsia="仿宋" w:cs="仿宋_GB2312"/>
                <w:b w:val="0"/>
                <w:sz w:val="24"/>
                <w:szCs w:val="24"/>
              </w:rPr>
            </w:pPr>
            <w:r>
              <w:rPr>
                <w:rFonts w:hint="eastAsia" w:ascii="仿宋" w:hAnsi="仿宋" w:eastAsia="仿宋" w:cs="仿宋_GB2312"/>
                <w:spacing w:val="8"/>
                <w:kern w:val="0"/>
                <w:sz w:val="24"/>
                <w:szCs w:val="24"/>
              </w:rPr>
              <w:t>不低于当地低保标准的1.3倍</w:t>
            </w:r>
          </w:p>
        </w:tc>
        <w:tc>
          <w:tcPr>
            <w:tcW w:w="1018" w:type="dxa"/>
            <w:vAlign w:val="center"/>
          </w:tcPr>
          <w:p>
            <w:pPr>
              <w:rPr>
                <w:rStyle w:val="29"/>
                <w:rFonts w:ascii="仿宋" w:hAnsi="仿宋" w:eastAsia="仿宋" w:cs="仿宋_GB2312"/>
                <w:b w:val="0"/>
                <w:sz w:val="24"/>
                <w:szCs w:val="24"/>
              </w:rPr>
            </w:pPr>
            <w:r>
              <w:rPr>
                <w:rFonts w:hint="eastAsia" w:ascii="仿宋" w:hAnsi="仿宋" w:eastAsia="仿宋" w:cs="仿宋_GB2312"/>
                <w:spacing w:val="8"/>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jc w:val="center"/>
              <w:rPr>
                <w:spacing w:val="8"/>
                <w:kern w:val="0"/>
                <w:sz w:val="24"/>
                <w:szCs w:val="24"/>
              </w:rPr>
            </w:pPr>
            <w:r>
              <w:rPr>
                <w:rFonts w:hint="eastAsia"/>
                <w:spacing w:val="8"/>
                <w:kern w:val="0"/>
                <w:sz w:val="24"/>
                <w:szCs w:val="24"/>
              </w:rPr>
              <w:t>3</w:t>
            </w:r>
          </w:p>
        </w:tc>
        <w:tc>
          <w:tcPr>
            <w:tcW w:w="3397" w:type="dxa"/>
            <w:vAlign w:val="center"/>
          </w:tcPr>
          <w:p>
            <w:pP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困难残疾人生活补贴覆盖率（%）</w:t>
            </w:r>
          </w:p>
        </w:tc>
        <w:tc>
          <w:tcPr>
            <w:tcW w:w="1134" w:type="dxa"/>
            <w:vAlign w:val="center"/>
          </w:tcPr>
          <w:p>
            <w:pPr>
              <w:jc w:val="center"/>
              <w:rPr>
                <w:rFonts w:ascii="仿宋" w:hAnsi="仿宋" w:eastAsia="仿宋" w:cs="仿宋_GB2312"/>
                <w:spacing w:val="8"/>
                <w:kern w:val="0"/>
                <w:sz w:val="24"/>
                <w:szCs w:val="24"/>
              </w:rPr>
            </w:pPr>
            <w:r>
              <w:rPr>
                <w:rFonts w:ascii="仿宋" w:hAnsi="仿宋" w:eastAsia="仿宋" w:cs="仿宋_GB2312"/>
                <w:spacing w:val="8"/>
                <w:kern w:val="0"/>
                <w:sz w:val="24"/>
                <w:szCs w:val="24"/>
              </w:rPr>
              <w:t>100</w:t>
            </w:r>
          </w:p>
        </w:tc>
        <w:tc>
          <w:tcPr>
            <w:tcW w:w="2131" w:type="dxa"/>
            <w:vAlign w:val="center"/>
          </w:tcPr>
          <w:p>
            <w:pPr>
              <w:jc w:val="center"/>
              <w:rPr>
                <w:rFonts w:ascii="仿宋_GB2312" w:hAnsi="仿宋_GB2312" w:eastAsia="仿宋_GB2312" w:cs="仿宋_GB2312"/>
                <w:spacing w:val="8"/>
                <w:kern w:val="0"/>
                <w:sz w:val="24"/>
                <w:szCs w:val="24"/>
              </w:rPr>
            </w:pPr>
            <w:r>
              <w:rPr>
                <w:rFonts w:hint="eastAsia" w:ascii="仿宋_GB2312" w:hAnsi="仿宋_GB2312" w:eastAsia="仿宋_GB2312" w:cs="仿宋_GB2312"/>
                <w:spacing w:val="8"/>
                <w:kern w:val="0"/>
                <w:sz w:val="24"/>
                <w:szCs w:val="24"/>
              </w:rPr>
              <w:t>1</w:t>
            </w:r>
            <w:r>
              <w:rPr>
                <w:rFonts w:ascii="仿宋_GB2312" w:hAnsi="仿宋_GB2312" w:eastAsia="仿宋_GB2312" w:cs="仿宋_GB2312"/>
                <w:spacing w:val="8"/>
                <w:kern w:val="0"/>
                <w:sz w:val="24"/>
                <w:szCs w:val="24"/>
              </w:rPr>
              <w:t>00</w:t>
            </w:r>
          </w:p>
        </w:tc>
        <w:tc>
          <w:tcPr>
            <w:tcW w:w="1018" w:type="dxa"/>
            <w:vAlign w:val="center"/>
          </w:tcPr>
          <w:p>
            <w:pP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jc w:val="center"/>
              <w:rPr>
                <w:spacing w:val="8"/>
                <w:kern w:val="0"/>
                <w:sz w:val="24"/>
                <w:szCs w:val="24"/>
              </w:rPr>
            </w:pPr>
            <w:r>
              <w:rPr>
                <w:rFonts w:hint="eastAsia"/>
                <w:spacing w:val="8"/>
                <w:kern w:val="0"/>
                <w:sz w:val="24"/>
                <w:szCs w:val="24"/>
              </w:rPr>
              <w:t>4</w:t>
            </w:r>
          </w:p>
        </w:tc>
        <w:tc>
          <w:tcPr>
            <w:tcW w:w="3397" w:type="dxa"/>
            <w:vAlign w:val="center"/>
          </w:tcPr>
          <w:p>
            <w:pP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重度残疾人护理补贴覆盖率（%）</w:t>
            </w:r>
          </w:p>
        </w:tc>
        <w:tc>
          <w:tcPr>
            <w:tcW w:w="1134" w:type="dxa"/>
            <w:vAlign w:val="center"/>
          </w:tcPr>
          <w:p>
            <w:pPr>
              <w:jc w:val="cente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1</w:t>
            </w:r>
            <w:r>
              <w:rPr>
                <w:rFonts w:ascii="仿宋" w:hAnsi="仿宋" w:eastAsia="仿宋" w:cs="仿宋_GB2312"/>
                <w:spacing w:val="8"/>
                <w:kern w:val="0"/>
                <w:sz w:val="24"/>
                <w:szCs w:val="24"/>
              </w:rPr>
              <w:t>00</w:t>
            </w:r>
          </w:p>
        </w:tc>
        <w:tc>
          <w:tcPr>
            <w:tcW w:w="2131" w:type="dxa"/>
            <w:vAlign w:val="center"/>
          </w:tcPr>
          <w:p>
            <w:pPr>
              <w:jc w:val="center"/>
              <w:rPr>
                <w:rFonts w:ascii="仿宋_GB2312" w:hAnsi="仿宋_GB2312" w:eastAsia="仿宋_GB2312" w:cs="仿宋_GB2312"/>
                <w:spacing w:val="8"/>
                <w:kern w:val="0"/>
                <w:sz w:val="24"/>
                <w:szCs w:val="24"/>
              </w:rPr>
            </w:pPr>
            <w:r>
              <w:rPr>
                <w:rFonts w:hint="eastAsia" w:ascii="仿宋_GB2312" w:hAnsi="仿宋_GB2312" w:eastAsia="仿宋_GB2312" w:cs="仿宋_GB2312"/>
                <w:spacing w:val="8"/>
                <w:kern w:val="0"/>
                <w:sz w:val="24"/>
                <w:szCs w:val="24"/>
              </w:rPr>
              <w:t>1</w:t>
            </w:r>
            <w:r>
              <w:rPr>
                <w:rFonts w:ascii="仿宋_GB2312" w:hAnsi="仿宋_GB2312" w:eastAsia="仿宋_GB2312" w:cs="仿宋_GB2312"/>
                <w:spacing w:val="8"/>
                <w:kern w:val="0"/>
                <w:sz w:val="24"/>
                <w:szCs w:val="24"/>
              </w:rPr>
              <w:t>00</w:t>
            </w:r>
          </w:p>
        </w:tc>
        <w:tc>
          <w:tcPr>
            <w:tcW w:w="1018" w:type="dxa"/>
            <w:vAlign w:val="center"/>
          </w:tcPr>
          <w:p>
            <w:pP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jc w:val="center"/>
              <w:rPr>
                <w:rStyle w:val="29"/>
                <w:rFonts w:ascii="宋体" w:hAnsi="宋体" w:cs="仿宋_GB2312"/>
                <w:b w:val="0"/>
                <w:sz w:val="24"/>
                <w:szCs w:val="24"/>
              </w:rPr>
            </w:pPr>
            <w:r>
              <w:rPr>
                <w:spacing w:val="8"/>
                <w:kern w:val="0"/>
                <w:sz w:val="24"/>
                <w:szCs w:val="24"/>
              </w:rPr>
              <w:t>5</w:t>
            </w:r>
          </w:p>
        </w:tc>
        <w:tc>
          <w:tcPr>
            <w:tcW w:w="3397" w:type="dxa"/>
            <w:vAlign w:val="center"/>
          </w:tcPr>
          <w:p>
            <w:pPr>
              <w:rPr>
                <w:rStyle w:val="29"/>
                <w:rFonts w:ascii="仿宋" w:hAnsi="仿宋" w:eastAsia="仿宋" w:cs="仿宋_GB2312"/>
                <w:b w:val="0"/>
                <w:sz w:val="24"/>
                <w:szCs w:val="24"/>
              </w:rPr>
            </w:pPr>
            <w:r>
              <w:rPr>
                <w:rFonts w:hint="eastAsia" w:ascii="仿宋" w:hAnsi="仿宋" w:eastAsia="仿宋" w:cs="仿宋_GB2312"/>
                <w:spacing w:val="8"/>
                <w:kern w:val="0"/>
                <w:sz w:val="24"/>
                <w:szCs w:val="24"/>
              </w:rPr>
              <w:t>养老机构护理型床位占（%）</w:t>
            </w:r>
          </w:p>
        </w:tc>
        <w:tc>
          <w:tcPr>
            <w:tcW w:w="1134" w:type="dxa"/>
            <w:vAlign w:val="center"/>
          </w:tcPr>
          <w:p>
            <w:pPr>
              <w:jc w:val="center"/>
              <w:rPr>
                <w:rStyle w:val="29"/>
                <w:rFonts w:ascii="仿宋" w:hAnsi="仿宋" w:eastAsia="仿宋" w:cs="仿宋_GB2312"/>
                <w:b w:val="0"/>
                <w:sz w:val="24"/>
                <w:szCs w:val="24"/>
              </w:rPr>
            </w:pPr>
            <w:r>
              <w:rPr>
                <w:rFonts w:ascii="仿宋" w:hAnsi="仿宋" w:eastAsia="仿宋" w:cs="仿宋_GB2312"/>
                <w:spacing w:val="8"/>
                <w:kern w:val="0"/>
                <w:sz w:val="24"/>
                <w:szCs w:val="24"/>
              </w:rPr>
              <w:t>43.9</w:t>
            </w:r>
          </w:p>
        </w:tc>
        <w:tc>
          <w:tcPr>
            <w:tcW w:w="2131" w:type="dxa"/>
            <w:vAlign w:val="center"/>
          </w:tcPr>
          <w:p>
            <w:pPr>
              <w:jc w:val="center"/>
              <w:rPr>
                <w:rStyle w:val="29"/>
                <w:rFonts w:ascii="仿宋" w:hAnsi="仿宋" w:eastAsia="仿宋" w:cs="仿宋_GB2312"/>
                <w:b w:val="0"/>
                <w:sz w:val="24"/>
                <w:szCs w:val="24"/>
              </w:rPr>
            </w:pPr>
            <w:r>
              <w:rPr>
                <w:rFonts w:hint="eastAsia" w:ascii="仿宋" w:hAnsi="仿宋" w:eastAsia="仿宋" w:cs="仿宋_GB2312"/>
                <w:spacing w:val="8"/>
                <w:kern w:val="0"/>
                <w:sz w:val="24"/>
                <w:szCs w:val="24"/>
              </w:rPr>
              <w:t>≥55</w:t>
            </w:r>
          </w:p>
        </w:tc>
        <w:tc>
          <w:tcPr>
            <w:tcW w:w="1018" w:type="dxa"/>
            <w:vAlign w:val="center"/>
          </w:tcPr>
          <w:p>
            <w:pPr>
              <w:rPr>
                <w:rStyle w:val="29"/>
                <w:rFonts w:ascii="仿宋" w:hAnsi="仿宋" w:eastAsia="仿宋" w:cs="仿宋_GB2312"/>
                <w:b w:val="0"/>
                <w:sz w:val="24"/>
                <w:szCs w:val="24"/>
              </w:rPr>
            </w:pPr>
            <w:r>
              <w:rPr>
                <w:rFonts w:hint="eastAsia" w:ascii="仿宋" w:hAnsi="仿宋" w:eastAsia="仿宋" w:cs="仿宋_GB2312"/>
                <w:spacing w:val="8"/>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jc w:val="center"/>
              <w:rPr>
                <w:rFonts w:ascii="宋体" w:hAnsi="宋体" w:cs="仿宋_GB2312"/>
                <w:spacing w:val="8"/>
                <w:kern w:val="0"/>
                <w:sz w:val="24"/>
                <w:szCs w:val="24"/>
              </w:rPr>
            </w:pPr>
            <w:r>
              <w:rPr>
                <w:rFonts w:ascii="宋体" w:hAnsi="宋体" w:cs="仿宋_GB2312"/>
                <w:spacing w:val="8"/>
                <w:kern w:val="0"/>
                <w:sz w:val="24"/>
                <w:szCs w:val="24"/>
              </w:rPr>
              <w:t>6</w:t>
            </w:r>
          </w:p>
        </w:tc>
        <w:tc>
          <w:tcPr>
            <w:tcW w:w="3397" w:type="dxa"/>
            <w:vAlign w:val="center"/>
          </w:tcPr>
          <w:p>
            <w:pP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养老机构床位数</w:t>
            </w:r>
          </w:p>
        </w:tc>
        <w:tc>
          <w:tcPr>
            <w:tcW w:w="1134" w:type="dxa"/>
            <w:vAlign w:val="center"/>
          </w:tcPr>
          <w:p>
            <w:pPr>
              <w:jc w:val="cente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1</w:t>
            </w:r>
            <w:r>
              <w:rPr>
                <w:rFonts w:ascii="仿宋" w:hAnsi="仿宋" w:eastAsia="仿宋" w:cs="仿宋_GB2312"/>
                <w:spacing w:val="8"/>
                <w:kern w:val="0"/>
                <w:sz w:val="24"/>
                <w:szCs w:val="24"/>
              </w:rPr>
              <w:t>6582</w:t>
            </w:r>
          </w:p>
        </w:tc>
        <w:tc>
          <w:tcPr>
            <w:tcW w:w="2131" w:type="dxa"/>
            <w:vAlign w:val="center"/>
          </w:tcPr>
          <w:p>
            <w:pPr>
              <w:jc w:val="cente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35300</w:t>
            </w:r>
          </w:p>
        </w:tc>
        <w:tc>
          <w:tcPr>
            <w:tcW w:w="1018" w:type="dxa"/>
            <w:vAlign w:val="center"/>
          </w:tcPr>
          <w:p>
            <w:pP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jc w:val="center"/>
              <w:rPr>
                <w:rFonts w:ascii="宋体" w:hAnsi="宋体" w:cs="仿宋_GB2312"/>
                <w:spacing w:val="8"/>
                <w:kern w:val="0"/>
                <w:sz w:val="24"/>
                <w:szCs w:val="24"/>
              </w:rPr>
            </w:pPr>
            <w:r>
              <w:rPr>
                <w:rFonts w:ascii="宋体" w:hAnsi="宋体" w:cs="仿宋_GB2312"/>
                <w:spacing w:val="8"/>
                <w:kern w:val="0"/>
                <w:sz w:val="24"/>
                <w:szCs w:val="24"/>
              </w:rPr>
              <w:t>7</w:t>
            </w:r>
          </w:p>
        </w:tc>
        <w:tc>
          <w:tcPr>
            <w:tcW w:w="3397" w:type="dxa"/>
            <w:vAlign w:val="center"/>
          </w:tcPr>
          <w:p>
            <w:pP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社区养老服务设施覆盖（%）</w:t>
            </w:r>
          </w:p>
        </w:tc>
        <w:tc>
          <w:tcPr>
            <w:tcW w:w="1134" w:type="dxa"/>
            <w:vAlign w:val="center"/>
          </w:tcPr>
          <w:p>
            <w:pPr>
              <w:jc w:val="cente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50</w:t>
            </w:r>
          </w:p>
        </w:tc>
        <w:tc>
          <w:tcPr>
            <w:tcW w:w="2131" w:type="dxa"/>
            <w:vAlign w:val="center"/>
          </w:tcPr>
          <w:p>
            <w:pPr>
              <w:jc w:val="cente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100</w:t>
            </w:r>
          </w:p>
        </w:tc>
        <w:tc>
          <w:tcPr>
            <w:tcW w:w="1018" w:type="dxa"/>
            <w:vAlign w:val="center"/>
          </w:tcPr>
          <w:p>
            <w:pP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jc w:val="center"/>
              <w:rPr>
                <w:rFonts w:ascii="宋体" w:hAnsi="宋体" w:cs="仿宋_GB2312"/>
                <w:spacing w:val="8"/>
                <w:kern w:val="0"/>
                <w:sz w:val="24"/>
                <w:szCs w:val="24"/>
              </w:rPr>
            </w:pPr>
            <w:r>
              <w:rPr>
                <w:rFonts w:ascii="宋体" w:hAnsi="宋体" w:cs="仿宋_GB2312"/>
                <w:spacing w:val="8"/>
                <w:kern w:val="0"/>
                <w:sz w:val="24"/>
                <w:szCs w:val="24"/>
              </w:rPr>
              <w:t>8</w:t>
            </w:r>
          </w:p>
        </w:tc>
        <w:tc>
          <w:tcPr>
            <w:tcW w:w="3397" w:type="dxa"/>
            <w:vAlign w:val="center"/>
          </w:tcPr>
          <w:p>
            <w:pP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街道综合养老服务设施覆盖率（%）</w:t>
            </w:r>
          </w:p>
        </w:tc>
        <w:tc>
          <w:tcPr>
            <w:tcW w:w="1134" w:type="dxa"/>
            <w:vAlign w:val="center"/>
          </w:tcPr>
          <w:p>
            <w:pPr>
              <w:jc w:val="cente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17</w:t>
            </w:r>
          </w:p>
        </w:tc>
        <w:tc>
          <w:tcPr>
            <w:tcW w:w="2131" w:type="dxa"/>
            <w:vAlign w:val="center"/>
          </w:tcPr>
          <w:p>
            <w:pPr>
              <w:jc w:val="cente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100</w:t>
            </w:r>
          </w:p>
        </w:tc>
        <w:tc>
          <w:tcPr>
            <w:tcW w:w="1018" w:type="dxa"/>
            <w:vAlign w:val="center"/>
          </w:tcPr>
          <w:p>
            <w:pP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jc w:val="center"/>
              <w:rPr>
                <w:rFonts w:ascii="宋体" w:hAnsi="宋体" w:cs="仿宋_GB2312"/>
                <w:spacing w:val="8"/>
                <w:kern w:val="0"/>
                <w:sz w:val="24"/>
                <w:szCs w:val="24"/>
              </w:rPr>
            </w:pPr>
            <w:r>
              <w:rPr>
                <w:rFonts w:ascii="宋体" w:hAnsi="宋体" w:cs="仿宋_GB2312"/>
                <w:spacing w:val="8"/>
                <w:kern w:val="0"/>
                <w:sz w:val="24"/>
                <w:szCs w:val="24"/>
              </w:rPr>
              <w:t>9</w:t>
            </w:r>
          </w:p>
        </w:tc>
        <w:tc>
          <w:tcPr>
            <w:tcW w:w="3397" w:type="dxa"/>
            <w:vAlign w:val="center"/>
          </w:tcPr>
          <w:p>
            <w:pP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县区级特困供养机构覆盖率（%）</w:t>
            </w:r>
          </w:p>
        </w:tc>
        <w:tc>
          <w:tcPr>
            <w:tcW w:w="1134" w:type="dxa"/>
            <w:vAlign w:val="center"/>
          </w:tcPr>
          <w:p>
            <w:pPr>
              <w:jc w:val="cente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11</w:t>
            </w:r>
          </w:p>
        </w:tc>
        <w:tc>
          <w:tcPr>
            <w:tcW w:w="2131" w:type="dxa"/>
            <w:vAlign w:val="center"/>
          </w:tcPr>
          <w:p>
            <w:pPr>
              <w:jc w:val="cente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100</w:t>
            </w:r>
          </w:p>
        </w:tc>
        <w:tc>
          <w:tcPr>
            <w:tcW w:w="1018" w:type="dxa"/>
            <w:vAlign w:val="center"/>
          </w:tcPr>
          <w:p>
            <w:pP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jc w:val="center"/>
              <w:rPr>
                <w:rFonts w:ascii="宋体" w:hAnsi="宋体" w:cs="仿宋_GB2312"/>
                <w:spacing w:val="8"/>
                <w:kern w:val="0"/>
                <w:sz w:val="24"/>
                <w:szCs w:val="24"/>
              </w:rPr>
            </w:pPr>
            <w:r>
              <w:rPr>
                <w:rFonts w:ascii="宋体" w:hAnsi="宋体" w:cs="仿宋_GB2312"/>
                <w:spacing w:val="8"/>
                <w:kern w:val="0"/>
                <w:sz w:val="24"/>
                <w:szCs w:val="24"/>
              </w:rPr>
              <w:t>10</w:t>
            </w:r>
          </w:p>
        </w:tc>
        <w:tc>
          <w:tcPr>
            <w:tcW w:w="3397" w:type="dxa"/>
            <w:vAlign w:val="center"/>
          </w:tcPr>
          <w:p>
            <w:pP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智慧养老覆盖率（%）</w:t>
            </w:r>
          </w:p>
        </w:tc>
        <w:tc>
          <w:tcPr>
            <w:tcW w:w="1134" w:type="dxa"/>
            <w:vAlign w:val="center"/>
          </w:tcPr>
          <w:p>
            <w:pPr>
              <w:jc w:val="center"/>
              <w:rPr>
                <w:rFonts w:ascii="仿宋" w:hAnsi="仿宋" w:eastAsia="仿宋" w:cs="仿宋_GB2312"/>
                <w:spacing w:val="8"/>
                <w:kern w:val="0"/>
                <w:sz w:val="24"/>
                <w:szCs w:val="24"/>
              </w:rPr>
            </w:pPr>
            <w:r>
              <w:rPr>
                <w:rFonts w:ascii="仿宋" w:hAnsi="仿宋" w:eastAsia="仿宋" w:cs="仿宋_GB2312"/>
                <w:spacing w:val="8"/>
                <w:kern w:val="0"/>
                <w:sz w:val="24"/>
                <w:szCs w:val="24"/>
              </w:rPr>
              <w:t>-</w:t>
            </w:r>
          </w:p>
        </w:tc>
        <w:tc>
          <w:tcPr>
            <w:tcW w:w="2131" w:type="dxa"/>
            <w:vAlign w:val="center"/>
          </w:tcPr>
          <w:p>
            <w:pPr>
              <w:jc w:val="center"/>
              <w:rPr>
                <w:rFonts w:ascii="仿宋" w:hAnsi="仿宋" w:eastAsia="仿宋" w:cs="仿宋_GB2312"/>
                <w:spacing w:val="8"/>
                <w:kern w:val="0"/>
                <w:sz w:val="24"/>
                <w:szCs w:val="24"/>
              </w:rPr>
            </w:pPr>
            <w:r>
              <w:rPr>
                <w:rFonts w:ascii="仿宋" w:hAnsi="仿宋" w:eastAsia="仿宋" w:cs="仿宋_GB2312"/>
                <w:spacing w:val="8"/>
                <w:kern w:val="0"/>
                <w:sz w:val="24"/>
                <w:szCs w:val="24"/>
              </w:rPr>
              <w:t>90</w:t>
            </w:r>
          </w:p>
        </w:tc>
        <w:tc>
          <w:tcPr>
            <w:tcW w:w="1018" w:type="dxa"/>
            <w:vAlign w:val="center"/>
          </w:tcPr>
          <w:p>
            <w:pP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jc w:val="center"/>
              <w:rPr>
                <w:rFonts w:ascii="宋体" w:hAnsi="宋体" w:cs="仿宋_GB2312"/>
                <w:spacing w:val="8"/>
                <w:kern w:val="0"/>
                <w:sz w:val="24"/>
                <w:szCs w:val="24"/>
              </w:rPr>
            </w:pPr>
            <w:r>
              <w:rPr>
                <w:rFonts w:ascii="宋体" w:hAnsi="宋体" w:cs="仿宋_GB2312"/>
                <w:spacing w:val="8"/>
                <w:kern w:val="0"/>
                <w:sz w:val="24"/>
                <w:szCs w:val="24"/>
              </w:rPr>
              <w:t>11</w:t>
            </w:r>
          </w:p>
        </w:tc>
        <w:tc>
          <w:tcPr>
            <w:tcW w:w="3397" w:type="dxa"/>
            <w:vAlign w:val="center"/>
          </w:tcPr>
          <w:p>
            <w:pP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城市社区综合服务</w:t>
            </w:r>
            <w:r>
              <w:rPr>
                <w:rFonts w:ascii="仿宋" w:hAnsi="仿宋" w:eastAsia="仿宋" w:cs="仿宋_GB2312"/>
                <w:spacing w:val="8"/>
                <w:kern w:val="0"/>
                <w:sz w:val="24"/>
                <w:szCs w:val="24"/>
              </w:rPr>
              <w:t>设施覆盖率（</w:t>
            </w:r>
            <w:r>
              <w:rPr>
                <w:rFonts w:hint="eastAsia" w:ascii="仿宋" w:hAnsi="仿宋" w:eastAsia="仿宋" w:cs="仿宋_GB2312"/>
                <w:spacing w:val="8"/>
                <w:kern w:val="0"/>
                <w:sz w:val="24"/>
                <w:szCs w:val="24"/>
              </w:rPr>
              <w:t>%</w:t>
            </w:r>
            <w:r>
              <w:rPr>
                <w:rFonts w:ascii="仿宋" w:hAnsi="仿宋" w:eastAsia="仿宋" w:cs="仿宋_GB2312"/>
                <w:spacing w:val="8"/>
                <w:kern w:val="0"/>
                <w:sz w:val="24"/>
                <w:szCs w:val="24"/>
              </w:rPr>
              <w:t>）</w:t>
            </w:r>
          </w:p>
        </w:tc>
        <w:tc>
          <w:tcPr>
            <w:tcW w:w="1134" w:type="dxa"/>
            <w:vAlign w:val="center"/>
          </w:tcPr>
          <w:p>
            <w:pPr>
              <w:jc w:val="center"/>
              <w:rPr>
                <w:rFonts w:ascii="仿宋" w:hAnsi="仿宋" w:eastAsia="仿宋" w:cs="仿宋_GB2312"/>
                <w:spacing w:val="8"/>
                <w:kern w:val="0"/>
                <w:sz w:val="24"/>
                <w:szCs w:val="24"/>
              </w:rPr>
            </w:pPr>
            <w:r>
              <w:rPr>
                <w:rFonts w:ascii="仿宋" w:hAnsi="仿宋" w:eastAsia="仿宋" w:cs="仿宋_GB2312"/>
                <w:spacing w:val="8"/>
                <w:kern w:val="0"/>
                <w:sz w:val="24"/>
                <w:szCs w:val="24"/>
              </w:rPr>
              <w:t>100</w:t>
            </w:r>
          </w:p>
        </w:tc>
        <w:tc>
          <w:tcPr>
            <w:tcW w:w="2131" w:type="dxa"/>
            <w:vAlign w:val="center"/>
          </w:tcPr>
          <w:p>
            <w:pPr>
              <w:jc w:val="center"/>
              <w:rPr>
                <w:rFonts w:ascii="仿宋" w:hAnsi="仿宋" w:eastAsia="仿宋" w:cs="仿宋_GB2312"/>
                <w:spacing w:val="8"/>
                <w:kern w:val="0"/>
                <w:sz w:val="24"/>
                <w:szCs w:val="24"/>
              </w:rPr>
            </w:pPr>
            <w:r>
              <w:rPr>
                <w:rFonts w:ascii="仿宋" w:hAnsi="仿宋" w:eastAsia="仿宋" w:cs="仿宋_GB2312"/>
                <w:spacing w:val="8"/>
                <w:kern w:val="0"/>
                <w:sz w:val="24"/>
                <w:szCs w:val="24"/>
              </w:rPr>
              <w:t>100</w:t>
            </w:r>
          </w:p>
        </w:tc>
        <w:tc>
          <w:tcPr>
            <w:tcW w:w="1018" w:type="dxa"/>
            <w:vAlign w:val="center"/>
          </w:tcPr>
          <w:p>
            <w:pP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jc w:val="center"/>
              <w:rPr>
                <w:rFonts w:ascii="宋体" w:hAnsi="宋体" w:cs="仿宋_GB2312"/>
                <w:spacing w:val="8"/>
                <w:kern w:val="0"/>
                <w:sz w:val="24"/>
                <w:szCs w:val="24"/>
              </w:rPr>
            </w:pPr>
            <w:r>
              <w:rPr>
                <w:rFonts w:hint="eastAsia" w:ascii="宋体" w:hAnsi="宋体" w:cs="仿宋_GB2312"/>
                <w:spacing w:val="8"/>
                <w:kern w:val="0"/>
                <w:sz w:val="24"/>
                <w:szCs w:val="24"/>
              </w:rPr>
              <w:t>1</w:t>
            </w:r>
            <w:r>
              <w:rPr>
                <w:rFonts w:ascii="宋体" w:hAnsi="宋体" w:cs="仿宋_GB2312"/>
                <w:spacing w:val="8"/>
                <w:kern w:val="0"/>
                <w:sz w:val="24"/>
                <w:szCs w:val="24"/>
              </w:rPr>
              <w:t>2</w:t>
            </w:r>
          </w:p>
        </w:tc>
        <w:tc>
          <w:tcPr>
            <w:tcW w:w="3397" w:type="dxa"/>
            <w:vAlign w:val="center"/>
          </w:tcPr>
          <w:p>
            <w:pP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持证社会工作专业人才总量（万人）</w:t>
            </w:r>
          </w:p>
        </w:tc>
        <w:tc>
          <w:tcPr>
            <w:tcW w:w="1134" w:type="dxa"/>
            <w:vAlign w:val="center"/>
          </w:tcPr>
          <w:p>
            <w:pPr>
              <w:jc w:val="center"/>
              <w:rPr>
                <w:rFonts w:ascii="仿宋" w:hAnsi="仿宋" w:eastAsia="仿宋" w:cs="仿宋_GB2312"/>
                <w:spacing w:val="8"/>
                <w:kern w:val="0"/>
                <w:sz w:val="24"/>
                <w:szCs w:val="24"/>
              </w:rPr>
            </w:pPr>
            <w:r>
              <w:rPr>
                <w:rFonts w:ascii="仿宋" w:hAnsi="仿宋" w:eastAsia="仿宋" w:cs="仿宋_GB2312"/>
                <w:spacing w:val="8"/>
                <w:kern w:val="0"/>
                <w:sz w:val="24"/>
                <w:szCs w:val="24"/>
              </w:rPr>
              <w:t>0.</w:t>
            </w:r>
            <w:r>
              <w:rPr>
                <w:rFonts w:hint="eastAsia" w:ascii="仿宋" w:hAnsi="仿宋" w:eastAsia="仿宋" w:cs="仿宋_GB2312"/>
                <w:spacing w:val="8"/>
                <w:kern w:val="0"/>
                <w:sz w:val="24"/>
                <w:szCs w:val="24"/>
              </w:rPr>
              <w:t>0</w:t>
            </w:r>
            <w:r>
              <w:rPr>
                <w:rFonts w:ascii="仿宋" w:hAnsi="仿宋" w:eastAsia="仿宋" w:cs="仿宋_GB2312"/>
                <w:spacing w:val="8"/>
                <w:kern w:val="0"/>
                <w:sz w:val="24"/>
                <w:szCs w:val="24"/>
              </w:rPr>
              <w:t>2</w:t>
            </w:r>
          </w:p>
        </w:tc>
        <w:tc>
          <w:tcPr>
            <w:tcW w:w="2131" w:type="dxa"/>
            <w:vAlign w:val="center"/>
          </w:tcPr>
          <w:p>
            <w:pPr>
              <w:jc w:val="center"/>
              <w:rPr>
                <w:rFonts w:ascii="仿宋" w:hAnsi="仿宋" w:eastAsia="仿宋" w:cs="仿宋_GB2312"/>
                <w:spacing w:val="8"/>
                <w:kern w:val="0"/>
                <w:sz w:val="24"/>
                <w:szCs w:val="24"/>
              </w:rPr>
            </w:pPr>
            <w:r>
              <w:rPr>
                <w:rFonts w:ascii="Arial" w:hAnsi="Arial" w:cs="Arial"/>
                <w:sz w:val="24"/>
                <w:szCs w:val="24"/>
                <w:shd w:val="clear" w:color="auto" w:fill="FFFFFF"/>
              </w:rPr>
              <w:t>&gt;</w:t>
            </w:r>
            <w:r>
              <w:rPr>
                <w:rFonts w:ascii="仿宋" w:hAnsi="仿宋" w:eastAsia="仿宋" w:cs="仿宋_GB2312"/>
                <w:spacing w:val="8"/>
                <w:kern w:val="0"/>
                <w:sz w:val="24"/>
                <w:szCs w:val="24"/>
              </w:rPr>
              <w:t>0.</w:t>
            </w:r>
            <w:r>
              <w:rPr>
                <w:rFonts w:hint="eastAsia" w:ascii="仿宋" w:hAnsi="仿宋" w:eastAsia="仿宋" w:cs="仿宋_GB2312"/>
                <w:spacing w:val="8"/>
                <w:kern w:val="0"/>
                <w:sz w:val="24"/>
                <w:szCs w:val="24"/>
              </w:rPr>
              <w:t>2</w:t>
            </w:r>
          </w:p>
        </w:tc>
        <w:tc>
          <w:tcPr>
            <w:tcW w:w="1018" w:type="dxa"/>
            <w:vAlign w:val="center"/>
          </w:tcPr>
          <w:p>
            <w:pP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jc w:val="center"/>
              <w:rPr>
                <w:rFonts w:ascii="宋体" w:hAnsi="宋体" w:cs="仿宋_GB2312"/>
                <w:spacing w:val="8"/>
                <w:kern w:val="0"/>
                <w:sz w:val="24"/>
                <w:szCs w:val="24"/>
              </w:rPr>
            </w:pPr>
            <w:r>
              <w:rPr>
                <w:rFonts w:hint="eastAsia" w:ascii="宋体" w:hAnsi="宋体" w:cs="仿宋_GB2312"/>
                <w:spacing w:val="8"/>
                <w:kern w:val="0"/>
                <w:sz w:val="24"/>
                <w:szCs w:val="24"/>
              </w:rPr>
              <w:t>1</w:t>
            </w:r>
            <w:r>
              <w:rPr>
                <w:rFonts w:ascii="宋体" w:hAnsi="宋体" w:cs="仿宋_GB2312"/>
                <w:spacing w:val="8"/>
                <w:kern w:val="0"/>
                <w:sz w:val="24"/>
                <w:szCs w:val="24"/>
              </w:rPr>
              <w:t>3</w:t>
            </w:r>
          </w:p>
        </w:tc>
        <w:tc>
          <w:tcPr>
            <w:tcW w:w="3397" w:type="dxa"/>
            <w:vAlign w:val="center"/>
          </w:tcPr>
          <w:p>
            <w:pP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乡镇（街道）社会工作服务站覆盖率（%）</w:t>
            </w:r>
          </w:p>
        </w:tc>
        <w:tc>
          <w:tcPr>
            <w:tcW w:w="1134" w:type="dxa"/>
            <w:vAlign w:val="center"/>
          </w:tcPr>
          <w:p>
            <w:pPr>
              <w:jc w:val="cente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0</w:t>
            </w:r>
          </w:p>
        </w:tc>
        <w:tc>
          <w:tcPr>
            <w:tcW w:w="2131" w:type="dxa"/>
            <w:vAlign w:val="center"/>
          </w:tcPr>
          <w:p>
            <w:pPr>
              <w:jc w:val="cente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1</w:t>
            </w:r>
            <w:r>
              <w:rPr>
                <w:rFonts w:ascii="仿宋" w:hAnsi="仿宋" w:eastAsia="仿宋" w:cs="仿宋_GB2312"/>
                <w:spacing w:val="8"/>
                <w:kern w:val="0"/>
                <w:sz w:val="24"/>
                <w:szCs w:val="24"/>
              </w:rPr>
              <w:t>00</w:t>
            </w:r>
          </w:p>
        </w:tc>
        <w:tc>
          <w:tcPr>
            <w:tcW w:w="1018" w:type="dxa"/>
            <w:vAlign w:val="center"/>
          </w:tcPr>
          <w:p>
            <w:pP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jc w:val="center"/>
              <w:rPr>
                <w:rFonts w:ascii="宋体" w:hAnsi="宋体" w:cs="仿宋_GB2312"/>
                <w:spacing w:val="8"/>
                <w:kern w:val="0"/>
                <w:sz w:val="24"/>
                <w:szCs w:val="24"/>
              </w:rPr>
            </w:pPr>
            <w:r>
              <w:rPr>
                <w:rFonts w:hint="eastAsia" w:ascii="宋体" w:hAnsi="宋体" w:cs="仿宋_GB2312"/>
                <w:spacing w:val="8"/>
                <w:kern w:val="0"/>
                <w:sz w:val="24"/>
                <w:szCs w:val="24"/>
              </w:rPr>
              <w:t>1</w:t>
            </w:r>
            <w:r>
              <w:rPr>
                <w:rFonts w:ascii="宋体" w:hAnsi="宋体" w:cs="仿宋_GB2312"/>
                <w:spacing w:val="8"/>
                <w:kern w:val="0"/>
                <w:sz w:val="24"/>
                <w:szCs w:val="24"/>
              </w:rPr>
              <w:t>4</w:t>
            </w:r>
          </w:p>
        </w:tc>
        <w:tc>
          <w:tcPr>
            <w:tcW w:w="3397" w:type="dxa"/>
            <w:vAlign w:val="center"/>
          </w:tcPr>
          <w:p>
            <w:pP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查明身份信息流浪乞讨受助人员接送返回率（%）</w:t>
            </w:r>
          </w:p>
        </w:tc>
        <w:tc>
          <w:tcPr>
            <w:tcW w:w="1134" w:type="dxa"/>
            <w:vAlign w:val="center"/>
          </w:tcPr>
          <w:p>
            <w:pPr>
              <w:jc w:val="center"/>
              <w:rPr>
                <w:rFonts w:ascii="仿宋" w:hAnsi="仿宋" w:eastAsia="仿宋" w:cs="仿宋_GB2312"/>
                <w:spacing w:val="8"/>
                <w:kern w:val="0"/>
                <w:sz w:val="24"/>
                <w:szCs w:val="24"/>
              </w:rPr>
            </w:pPr>
            <w:r>
              <w:rPr>
                <w:rFonts w:ascii="仿宋" w:hAnsi="仿宋" w:eastAsia="仿宋" w:cs="仿宋_GB2312"/>
                <w:spacing w:val="8"/>
                <w:kern w:val="0"/>
                <w:sz w:val="24"/>
                <w:szCs w:val="24"/>
              </w:rPr>
              <w:t>-</w:t>
            </w:r>
          </w:p>
        </w:tc>
        <w:tc>
          <w:tcPr>
            <w:tcW w:w="2131" w:type="dxa"/>
            <w:vAlign w:val="center"/>
          </w:tcPr>
          <w:p>
            <w:pPr>
              <w:jc w:val="cente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1</w:t>
            </w:r>
            <w:r>
              <w:rPr>
                <w:rFonts w:ascii="仿宋" w:hAnsi="仿宋" w:eastAsia="仿宋" w:cs="仿宋_GB2312"/>
                <w:spacing w:val="8"/>
                <w:kern w:val="0"/>
                <w:sz w:val="24"/>
                <w:szCs w:val="24"/>
              </w:rPr>
              <w:t>00</w:t>
            </w:r>
          </w:p>
        </w:tc>
        <w:tc>
          <w:tcPr>
            <w:tcW w:w="1018" w:type="dxa"/>
            <w:vAlign w:val="center"/>
          </w:tcPr>
          <w:p>
            <w:pP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jc w:val="center"/>
              <w:rPr>
                <w:rFonts w:ascii="宋体" w:hAnsi="宋体" w:cs="仿宋_GB2312"/>
                <w:spacing w:val="8"/>
                <w:kern w:val="0"/>
                <w:sz w:val="24"/>
                <w:szCs w:val="24"/>
              </w:rPr>
            </w:pPr>
            <w:r>
              <w:rPr>
                <w:rFonts w:hint="eastAsia" w:ascii="宋体" w:hAnsi="宋体" w:cs="仿宋_GB2312"/>
                <w:spacing w:val="8"/>
                <w:kern w:val="0"/>
                <w:sz w:val="24"/>
                <w:szCs w:val="24"/>
              </w:rPr>
              <w:t>1</w:t>
            </w:r>
            <w:r>
              <w:rPr>
                <w:rFonts w:ascii="宋体" w:hAnsi="宋体" w:cs="仿宋_GB2312"/>
                <w:spacing w:val="8"/>
                <w:kern w:val="0"/>
                <w:sz w:val="24"/>
                <w:szCs w:val="24"/>
              </w:rPr>
              <w:t>5</w:t>
            </w:r>
          </w:p>
        </w:tc>
        <w:tc>
          <w:tcPr>
            <w:tcW w:w="3397" w:type="dxa"/>
            <w:vAlign w:val="center"/>
          </w:tcPr>
          <w:p>
            <w:pP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县级公益性安葬（放）设施覆盖率（%）</w:t>
            </w:r>
          </w:p>
        </w:tc>
        <w:tc>
          <w:tcPr>
            <w:tcW w:w="1134" w:type="dxa"/>
            <w:vAlign w:val="center"/>
          </w:tcPr>
          <w:p>
            <w:pPr>
              <w:jc w:val="center"/>
              <w:rPr>
                <w:rFonts w:ascii="仿宋" w:hAnsi="仿宋" w:eastAsia="仿宋" w:cs="仿宋_GB2312"/>
                <w:spacing w:val="8"/>
                <w:kern w:val="0"/>
                <w:sz w:val="24"/>
                <w:szCs w:val="24"/>
              </w:rPr>
            </w:pPr>
            <w:r>
              <w:rPr>
                <w:rFonts w:ascii="仿宋" w:hAnsi="仿宋" w:eastAsia="仿宋" w:cs="仿宋_GB2312"/>
                <w:spacing w:val="8"/>
                <w:kern w:val="0"/>
                <w:sz w:val="24"/>
                <w:szCs w:val="24"/>
              </w:rPr>
              <w:t>-</w:t>
            </w:r>
          </w:p>
        </w:tc>
        <w:tc>
          <w:tcPr>
            <w:tcW w:w="2131" w:type="dxa"/>
            <w:vAlign w:val="center"/>
          </w:tcPr>
          <w:p>
            <w:pPr>
              <w:jc w:val="cente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1</w:t>
            </w:r>
            <w:r>
              <w:rPr>
                <w:rFonts w:ascii="仿宋" w:hAnsi="仿宋" w:eastAsia="仿宋" w:cs="仿宋_GB2312"/>
                <w:spacing w:val="8"/>
                <w:kern w:val="0"/>
                <w:sz w:val="24"/>
                <w:szCs w:val="24"/>
              </w:rPr>
              <w:t>00</w:t>
            </w:r>
          </w:p>
        </w:tc>
        <w:tc>
          <w:tcPr>
            <w:tcW w:w="1018" w:type="dxa"/>
            <w:vAlign w:val="center"/>
          </w:tcPr>
          <w:p>
            <w:pP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jc w:val="center"/>
              <w:rPr>
                <w:rFonts w:ascii="宋体" w:hAnsi="宋体" w:cs="仿宋_GB2312"/>
                <w:spacing w:val="8"/>
                <w:kern w:val="0"/>
                <w:sz w:val="24"/>
                <w:szCs w:val="24"/>
              </w:rPr>
            </w:pPr>
            <w:r>
              <w:rPr>
                <w:rFonts w:ascii="宋体" w:hAnsi="宋体" w:cs="仿宋_GB2312"/>
                <w:spacing w:val="8"/>
                <w:kern w:val="0"/>
                <w:sz w:val="24"/>
                <w:szCs w:val="24"/>
              </w:rPr>
              <w:t>16</w:t>
            </w:r>
          </w:p>
        </w:tc>
        <w:tc>
          <w:tcPr>
            <w:tcW w:w="3397" w:type="dxa"/>
            <w:vAlign w:val="center"/>
          </w:tcPr>
          <w:p>
            <w:pP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惠民殡葬政策（元/具</w:t>
            </w:r>
            <w:r>
              <w:rPr>
                <w:rFonts w:ascii="仿宋" w:hAnsi="仿宋" w:eastAsia="仿宋" w:cs="仿宋_GB2312"/>
                <w:spacing w:val="8"/>
                <w:kern w:val="0"/>
                <w:sz w:val="24"/>
                <w:szCs w:val="24"/>
              </w:rPr>
              <w:t>）</w:t>
            </w:r>
          </w:p>
        </w:tc>
        <w:tc>
          <w:tcPr>
            <w:tcW w:w="1134" w:type="dxa"/>
            <w:vAlign w:val="center"/>
          </w:tcPr>
          <w:p>
            <w:pPr>
              <w:jc w:val="cente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1</w:t>
            </w:r>
            <w:r>
              <w:rPr>
                <w:rFonts w:ascii="仿宋" w:hAnsi="仿宋" w:eastAsia="仿宋" w:cs="仿宋_GB2312"/>
                <w:spacing w:val="8"/>
                <w:kern w:val="0"/>
                <w:sz w:val="24"/>
                <w:szCs w:val="24"/>
              </w:rPr>
              <w:t>000</w:t>
            </w:r>
          </w:p>
        </w:tc>
        <w:tc>
          <w:tcPr>
            <w:tcW w:w="2131" w:type="dxa"/>
            <w:vAlign w:val="center"/>
          </w:tcPr>
          <w:p>
            <w:pPr>
              <w:jc w:val="center"/>
              <w:rPr>
                <w:rFonts w:ascii="仿宋" w:hAnsi="仿宋" w:eastAsia="仿宋" w:cs="仿宋_GB2312"/>
                <w:spacing w:val="8"/>
                <w:kern w:val="0"/>
                <w:sz w:val="24"/>
                <w:szCs w:val="24"/>
              </w:rPr>
            </w:pPr>
            <w:r>
              <w:rPr>
                <w:rFonts w:ascii="仿宋" w:hAnsi="仿宋" w:eastAsia="仿宋" w:cs="仿宋_GB2312"/>
                <w:spacing w:val="8"/>
                <w:kern w:val="0"/>
                <w:sz w:val="24"/>
                <w:szCs w:val="24"/>
              </w:rPr>
              <w:t>1500</w:t>
            </w:r>
          </w:p>
        </w:tc>
        <w:tc>
          <w:tcPr>
            <w:tcW w:w="1018" w:type="dxa"/>
            <w:vAlign w:val="center"/>
          </w:tcPr>
          <w:p>
            <w:pP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jc w:val="center"/>
              <w:rPr>
                <w:rFonts w:ascii="宋体" w:hAnsi="宋体" w:cs="仿宋_GB2312"/>
                <w:spacing w:val="8"/>
                <w:kern w:val="0"/>
                <w:sz w:val="24"/>
                <w:szCs w:val="24"/>
              </w:rPr>
            </w:pPr>
            <w:r>
              <w:rPr>
                <w:rFonts w:ascii="宋体" w:hAnsi="宋体" w:cs="仿宋_GB2312"/>
                <w:spacing w:val="8"/>
                <w:kern w:val="0"/>
                <w:sz w:val="24"/>
                <w:szCs w:val="24"/>
              </w:rPr>
              <w:t>17</w:t>
            </w:r>
          </w:p>
        </w:tc>
        <w:tc>
          <w:tcPr>
            <w:tcW w:w="3397" w:type="dxa"/>
            <w:vAlign w:val="center"/>
          </w:tcPr>
          <w:p>
            <w:pP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累计发放孤儿生活费（万元）</w:t>
            </w:r>
          </w:p>
        </w:tc>
        <w:tc>
          <w:tcPr>
            <w:tcW w:w="1134" w:type="dxa"/>
            <w:vAlign w:val="center"/>
          </w:tcPr>
          <w:p>
            <w:pPr>
              <w:jc w:val="cente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3</w:t>
            </w:r>
            <w:r>
              <w:rPr>
                <w:rFonts w:ascii="仿宋" w:hAnsi="仿宋" w:eastAsia="仿宋" w:cs="仿宋_GB2312"/>
                <w:spacing w:val="8"/>
                <w:kern w:val="0"/>
                <w:sz w:val="24"/>
                <w:szCs w:val="24"/>
              </w:rPr>
              <w:t>800</w:t>
            </w:r>
          </w:p>
        </w:tc>
        <w:tc>
          <w:tcPr>
            <w:tcW w:w="2131" w:type="dxa"/>
            <w:vAlign w:val="center"/>
          </w:tcPr>
          <w:p>
            <w:pPr>
              <w:jc w:val="center"/>
              <w:rPr>
                <w:rFonts w:ascii="仿宋" w:hAnsi="仿宋" w:eastAsia="仿宋" w:cs="仿宋_GB2312"/>
                <w:spacing w:val="8"/>
                <w:kern w:val="0"/>
                <w:sz w:val="24"/>
                <w:szCs w:val="24"/>
              </w:rPr>
            </w:pPr>
            <w:r>
              <w:rPr>
                <w:rFonts w:ascii="仿宋" w:hAnsi="仿宋" w:eastAsia="仿宋" w:cs="仿宋_GB2312"/>
                <w:spacing w:val="8"/>
                <w:kern w:val="0"/>
                <w:sz w:val="24"/>
                <w:szCs w:val="24"/>
              </w:rPr>
              <w:t>4000</w:t>
            </w:r>
          </w:p>
        </w:tc>
        <w:tc>
          <w:tcPr>
            <w:tcW w:w="1018" w:type="dxa"/>
            <w:vAlign w:val="center"/>
          </w:tcPr>
          <w:p>
            <w:pP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jc w:val="center"/>
              <w:rPr>
                <w:rFonts w:ascii="宋体" w:hAnsi="宋体" w:cs="仿宋_GB2312"/>
                <w:spacing w:val="8"/>
                <w:kern w:val="0"/>
                <w:sz w:val="24"/>
                <w:szCs w:val="24"/>
              </w:rPr>
            </w:pPr>
            <w:r>
              <w:rPr>
                <w:rFonts w:hint="eastAsia" w:ascii="宋体" w:hAnsi="宋体" w:cs="仿宋_GB2312"/>
                <w:spacing w:val="8"/>
                <w:kern w:val="0"/>
                <w:sz w:val="24"/>
                <w:szCs w:val="24"/>
              </w:rPr>
              <w:t>1</w:t>
            </w:r>
            <w:r>
              <w:rPr>
                <w:rFonts w:ascii="宋体" w:hAnsi="宋体" w:cs="仿宋_GB2312"/>
                <w:spacing w:val="8"/>
                <w:kern w:val="0"/>
                <w:sz w:val="24"/>
                <w:szCs w:val="24"/>
              </w:rPr>
              <w:t>8</w:t>
            </w:r>
          </w:p>
        </w:tc>
        <w:tc>
          <w:tcPr>
            <w:tcW w:w="3397" w:type="dxa"/>
            <w:vAlign w:val="center"/>
          </w:tcPr>
          <w:p>
            <w:pP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志愿服务志愿者人数（万人）</w:t>
            </w:r>
          </w:p>
        </w:tc>
        <w:tc>
          <w:tcPr>
            <w:tcW w:w="1134" w:type="dxa"/>
            <w:vAlign w:val="center"/>
          </w:tcPr>
          <w:p>
            <w:pPr>
              <w:jc w:val="cente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3</w:t>
            </w:r>
            <w:r>
              <w:rPr>
                <w:rFonts w:ascii="仿宋" w:hAnsi="仿宋" w:eastAsia="仿宋" w:cs="仿宋_GB2312"/>
                <w:spacing w:val="8"/>
                <w:kern w:val="0"/>
                <w:sz w:val="24"/>
                <w:szCs w:val="24"/>
              </w:rPr>
              <w:t>4.6</w:t>
            </w:r>
          </w:p>
        </w:tc>
        <w:tc>
          <w:tcPr>
            <w:tcW w:w="2131" w:type="dxa"/>
            <w:vAlign w:val="center"/>
          </w:tcPr>
          <w:p>
            <w:pPr>
              <w:jc w:val="cente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7</w:t>
            </w:r>
            <w:r>
              <w:rPr>
                <w:rFonts w:ascii="仿宋" w:hAnsi="仿宋" w:eastAsia="仿宋" w:cs="仿宋_GB2312"/>
                <w:spacing w:val="8"/>
                <w:kern w:val="0"/>
                <w:sz w:val="24"/>
                <w:szCs w:val="24"/>
              </w:rPr>
              <w:t>0</w:t>
            </w:r>
          </w:p>
        </w:tc>
        <w:tc>
          <w:tcPr>
            <w:tcW w:w="1018" w:type="dxa"/>
            <w:vAlign w:val="center"/>
          </w:tcPr>
          <w:p>
            <w:pP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jc w:val="center"/>
              <w:rPr>
                <w:rFonts w:ascii="宋体" w:hAnsi="宋体" w:cs="仿宋_GB2312"/>
                <w:spacing w:val="8"/>
                <w:kern w:val="0"/>
                <w:sz w:val="24"/>
                <w:szCs w:val="24"/>
              </w:rPr>
            </w:pPr>
            <w:r>
              <w:rPr>
                <w:rFonts w:hint="eastAsia" w:ascii="宋体" w:hAnsi="宋体" w:cs="仿宋_GB2312"/>
                <w:spacing w:val="8"/>
                <w:kern w:val="0"/>
                <w:sz w:val="24"/>
                <w:szCs w:val="24"/>
              </w:rPr>
              <w:t>1</w:t>
            </w:r>
            <w:r>
              <w:rPr>
                <w:rFonts w:ascii="宋体" w:hAnsi="宋体" w:cs="仿宋_GB2312"/>
                <w:spacing w:val="8"/>
                <w:kern w:val="0"/>
                <w:sz w:val="24"/>
                <w:szCs w:val="24"/>
              </w:rPr>
              <w:t>9</w:t>
            </w:r>
          </w:p>
        </w:tc>
        <w:tc>
          <w:tcPr>
            <w:tcW w:w="3397" w:type="dxa"/>
            <w:vAlign w:val="center"/>
          </w:tcPr>
          <w:p>
            <w:pP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福利彩票销售网点</w:t>
            </w:r>
          </w:p>
        </w:tc>
        <w:tc>
          <w:tcPr>
            <w:tcW w:w="1134" w:type="dxa"/>
            <w:vAlign w:val="center"/>
          </w:tcPr>
          <w:p>
            <w:pPr>
              <w:jc w:val="center"/>
              <w:rPr>
                <w:rFonts w:ascii="仿宋" w:hAnsi="仿宋" w:eastAsia="仿宋" w:cs="仿宋_GB2312"/>
                <w:spacing w:val="8"/>
                <w:kern w:val="0"/>
                <w:sz w:val="24"/>
                <w:szCs w:val="24"/>
              </w:rPr>
            </w:pPr>
            <w:r>
              <w:rPr>
                <w:rFonts w:ascii="仿宋" w:hAnsi="仿宋" w:eastAsia="仿宋" w:cs="仿宋_GB2312"/>
                <w:spacing w:val="8"/>
                <w:kern w:val="0"/>
                <w:sz w:val="24"/>
                <w:szCs w:val="24"/>
              </w:rPr>
              <w:t>-</w:t>
            </w:r>
          </w:p>
        </w:tc>
        <w:tc>
          <w:tcPr>
            <w:tcW w:w="2131" w:type="dxa"/>
            <w:vAlign w:val="center"/>
          </w:tcPr>
          <w:p>
            <w:pPr>
              <w:jc w:val="center"/>
              <w:rPr>
                <w:rFonts w:ascii="仿宋" w:hAnsi="仿宋" w:eastAsia="仿宋" w:cs="仿宋_GB2312"/>
                <w:spacing w:val="8"/>
                <w:kern w:val="0"/>
                <w:sz w:val="24"/>
                <w:szCs w:val="24"/>
              </w:rPr>
            </w:pPr>
            <w:r>
              <w:rPr>
                <w:rFonts w:ascii="仿宋" w:hAnsi="仿宋" w:eastAsia="仿宋" w:cs="仿宋_GB2312"/>
                <w:spacing w:val="8"/>
                <w:kern w:val="0"/>
                <w:sz w:val="24"/>
                <w:szCs w:val="24"/>
              </w:rPr>
              <w:t>3</w:t>
            </w:r>
            <w:r>
              <w:rPr>
                <w:rFonts w:hint="eastAsia" w:ascii="仿宋" w:hAnsi="仿宋" w:eastAsia="仿宋" w:cs="仿宋_GB2312"/>
                <w:spacing w:val="8"/>
                <w:kern w:val="0"/>
                <w:sz w:val="24"/>
                <w:szCs w:val="24"/>
              </w:rPr>
              <w:t>2</w:t>
            </w:r>
            <w:r>
              <w:rPr>
                <w:rFonts w:ascii="仿宋" w:hAnsi="仿宋" w:eastAsia="仿宋" w:cs="仿宋_GB2312"/>
                <w:spacing w:val="8"/>
                <w:kern w:val="0"/>
                <w:sz w:val="24"/>
                <w:szCs w:val="24"/>
              </w:rPr>
              <w:t>0</w:t>
            </w:r>
          </w:p>
        </w:tc>
        <w:tc>
          <w:tcPr>
            <w:tcW w:w="1018" w:type="dxa"/>
            <w:vAlign w:val="center"/>
          </w:tcPr>
          <w:p>
            <w:pPr>
              <w:rPr>
                <w:rFonts w:ascii="仿宋" w:hAnsi="仿宋" w:eastAsia="仿宋" w:cs="仿宋_GB2312"/>
                <w:spacing w:val="8"/>
                <w:kern w:val="0"/>
                <w:sz w:val="24"/>
                <w:szCs w:val="24"/>
              </w:rPr>
            </w:pPr>
            <w:r>
              <w:rPr>
                <w:rFonts w:hint="eastAsia" w:ascii="仿宋" w:hAnsi="仿宋" w:eastAsia="仿宋" w:cs="仿宋_GB2312"/>
                <w:spacing w:val="8"/>
                <w:kern w:val="0"/>
                <w:sz w:val="24"/>
                <w:szCs w:val="24"/>
              </w:rPr>
              <w:t>预期性</w:t>
            </w:r>
          </w:p>
        </w:tc>
      </w:tr>
    </w:tbl>
    <w:p>
      <w:pPr>
        <w:pStyle w:val="5"/>
        <w:spacing w:before="312" w:after="312"/>
        <w:rPr>
          <w:rFonts w:hint="default" w:ascii="楷体" w:hAnsi="楷体" w:eastAsia="楷体"/>
          <w:b/>
          <w:bCs w:val="0"/>
          <w:sz w:val="32"/>
          <w:szCs w:val="32"/>
        </w:rPr>
      </w:pPr>
      <w:bookmarkStart w:id="14" w:name="_Toc17121"/>
      <w:r>
        <w:rPr>
          <w:rFonts w:ascii="楷体" w:hAnsi="楷体" w:eastAsia="楷体"/>
          <w:b/>
          <w:bCs w:val="0"/>
          <w:sz w:val="32"/>
          <w:szCs w:val="32"/>
        </w:rPr>
        <w:t>第三节 规划定位</w:t>
      </w:r>
      <w:bookmarkEnd w:id="14"/>
    </w:p>
    <w:p>
      <w:pPr>
        <w:spacing w:line="360" w:lineRule="auto"/>
        <w:ind w:firstLine="643" w:firstLineChars="200"/>
        <w:rPr>
          <w:rFonts w:ascii="仿宋" w:hAnsi="仿宋" w:eastAsia="仿宋"/>
          <w:bCs/>
          <w:sz w:val="32"/>
          <w:szCs w:val="32"/>
        </w:rPr>
      </w:pPr>
      <w:r>
        <w:rPr>
          <w:rFonts w:hint="eastAsia" w:ascii="仿宋" w:hAnsi="仿宋" w:eastAsia="仿宋"/>
          <w:b/>
          <w:sz w:val="32"/>
          <w:szCs w:val="32"/>
        </w:rPr>
        <w:t>全国市域社会治理现代化试点城市。</w:t>
      </w:r>
      <w:r>
        <w:rPr>
          <w:rFonts w:hint="eastAsia" w:ascii="仿宋" w:hAnsi="仿宋" w:eastAsia="仿宋"/>
          <w:bCs/>
          <w:sz w:val="32"/>
          <w:szCs w:val="32"/>
        </w:rPr>
        <w:t>积极推动全国市域社会治理现代化试点城市系统化建设，聚焦开封市基层社会治理体制性、机制性、政策性难题，由开封市市域社会治理现代化试点工作专班统筹“五治融合”工作，推动社会治理体系和治理能力现代化，完善基层群众自治制度，推进基层直接民主制度化、规范化、程序化，持续探索共建共治共享的基层社会治理“开封经验”和具有鲜明开封特色的基层社会治理模式。</w:t>
      </w:r>
    </w:p>
    <w:p>
      <w:pPr>
        <w:spacing w:line="360" w:lineRule="auto"/>
        <w:ind w:firstLine="643" w:firstLineChars="200"/>
        <w:rPr>
          <w:rFonts w:ascii="仿宋" w:hAnsi="仿宋" w:eastAsia="仿宋"/>
          <w:bCs/>
          <w:sz w:val="32"/>
          <w:szCs w:val="32"/>
        </w:rPr>
      </w:pPr>
      <w:r>
        <w:rPr>
          <w:rFonts w:hint="eastAsia" w:ascii="仿宋" w:hAnsi="仿宋" w:eastAsia="仿宋"/>
          <w:b/>
          <w:sz w:val="32"/>
          <w:szCs w:val="32"/>
        </w:rPr>
        <w:t>国家级居家和社区养老服务改革试点城市。</w:t>
      </w:r>
      <w:r>
        <w:rPr>
          <w:rFonts w:hint="eastAsia" w:ascii="仿宋" w:hAnsi="仿宋" w:eastAsia="仿宋"/>
          <w:bCs/>
          <w:sz w:val="32"/>
          <w:szCs w:val="32"/>
        </w:rPr>
        <w:t>围绕满足广大老年人居家养老的服务需求，立足当前，着眼长远，突出居家养老基础地位，强化社区养老服务功能，加大政策创新和资金投入力度，统筹各类资源，优化发展环境，逐步认识和把握居家和社区养老服务发展的规律，以打造居家和社区养老服务发展软环境和软实力为主，硬件设施建设为辅，形成一批服务内容全面覆盖、社会力量竞争参与、人民群众普遍认可的居家和社区养老服务成功经验，形成比较完备的居家和社区养老服务发展环境和推动机制，快速提高开封市居家和社区养老服务发展能力和水平，切实增强人民群众的幸福感和获得感。</w:t>
      </w:r>
    </w:p>
    <w:p>
      <w:pPr>
        <w:spacing w:line="360" w:lineRule="auto"/>
        <w:ind w:firstLine="643" w:firstLineChars="200"/>
        <w:rPr>
          <w:rFonts w:ascii="仿宋" w:hAnsi="仿宋" w:eastAsia="仿宋"/>
          <w:bCs/>
          <w:sz w:val="32"/>
          <w:szCs w:val="32"/>
        </w:rPr>
      </w:pPr>
      <w:r>
        <w:rPr>
          <w:rFonts w:hint="eastAsia" w:ascii="仿宋" w:hAnsi="仿宋" w:eastAsia="仿宋"/>
          <w:b/>
          <w:sz w:val="32"/>
          <w:szCs w:val="32"/>
        </w:rPr>
        <w:t>国家级婚俗改革试点城市。</w:t>
      </w:r>
      <w:r>
        <w:rPr>
          <w:rFonts w:hint="eastAsia" w:ascii="仿宋" w:hAnsi="仿宋" w:eastAsia="仿宋"/>
          <w:bCs/>
          <w:sz w:val="32"/>
          <w:szCs w:val="32"/>
        </w:rPr>
        <w:t>禹王台区被列为全国婚俗改革实验区，祥符区和城乡一体化示范区被列为河南省婚俗改革实验区，以此为契机进一步创新工作方式，着力构建与时代气质相适应的婚俗文化建设体系，实现婚俗改革试点高水平建设。持续开展婚俗改革宣传活动，强力推进婚俗改革，扎实推进全国试点工作，多层次打造婚俗文化宣传阵地，引导传播文明向上的婚俗文化。</w:t>
      </w:r>
    </w:p>
    <w:p>
      <w:pPr>
        <w:spacing w:line="360" w:lineRule="auto"/>
        <w:ind w:firstLine="643" w:firstLineChars="200"/>
        <w:rPr>
          <w:rFonts w:ascii="仿宋" w:hAnsi="仿宋" w:eastAsia="仿宋"/>
          <w:bCs/>
          <w:sz w:val="32"/>
          <w:szCs w:val="32"/>
        </w:rPr>
      </w:pPr>
      <w:r>
        <w:rPr>
          <w:rFonts w:hint="eastAsia" w:ascii="仿宋" w:hAnsi="仿宋" w:eastAsia="仿宋"/>
          <w:b/>
          <w:sz w:val="32"/>
          <w:szCs w:val="32"/>
        </w:rPr>
        <w:t>河南省数字民政服务体系建设标杆城市。</w:t>
      </w:r>
      <w:r>
        <w:rPr>
          <w:rFonts w:hint="eastAsia" w:ascii="仿宋" w:hAnsi="仿宋" w:eastAsia="仿宋"/>
          <w:bCs/>
          <w:sz w:val="32"/>
          <w:szCs w:val="32"/>
        </w:rPr>
        <w:t>开封市依托现有平台着力构建数字民政工作新体系，以信息化推动“数字民政”建设，高起点建设信息核对系统，高标准规范信息核对流程，高效率开展信息核对工作，增强人工智能在民政工作中的参与度，精准分析民政服务对象需求数据。建立智慧协同工作新机制，强化智能服务和动态监管，建立多部门协同治理机制。深度梳理民政业务条线间逻辑关系，找出同频共振点，建设民政综合协同管理平台，强化智能辅助决策分析，全面实现民政服务数字化建设。</w:t>
      </w:r>
    </w:p>
    <w:p>
      <w:pPr>
        <w:pStyle w:val="4"/>
        <w:spacing w:before="624" w:after="624"/>
        <w:ind w:left="0"/>
        <w:rPr>
          <w:rFonts w:ascii="黑体" w:hAnsi="黑体" w:eastAsia="黑体" w:cs="黑体"/>
          <w:sz w:val="32"/>
          <w:szCs w:val="32"/>
        </w:rPr>
      </w:pPr>
      <w:bookmarkStart w:id="15" w:name="_Toc8608"/>
      <w:bookmarkStart w:id="16" w:name="_Toc2275"/>
      <w:r>
        <w:rPr>
          <w:rFonts w:hint="eastAsia" w:ascii="黑体" w:hAnsi="黑体" w:eastAsia="黑体" w:cs="黑体"/>
          <w:sz w:val="32"/>
          <w:szCs w:val="32"/>
        </w:rPr>
        <w:t>第三章 树立开封养老服务新标杆</w:t>
      </w:r>
      <w:bookmarkEnd w:id="15"/>
    </w:p>
    <w:p>
      <w:pPr>
        <w:spacing w:line="560" w:lineRule="exact"/>
        <w:ind w:firstLine="640" w:firstLineChars="200"/>
        <w:rPr>
          <w:rFonts w:ascii="仿宋" w:hAnsi="仿宋" w:eastAsia="仿宋" w:cs="仿宋"/>
          <w:spacing w:val="8"/>
          <w:kern w:val="0"/>
          <w:sz w:val="32"/>
          <w:szCs w:val="32"/>
        </w:rPr>
      </w:pPr>
      <w:bookmarkStart w:id="17" w:name="_Toc85117198"/>
      <w:r>
        <w:rPr>
          <w:rFonts w:hint="eastAsia" w:ascii="仿宋" w:hAnsi="仿宋" w:eastAsia="仿宋" w:cs="仿宋"/>
          <w:sz w:val="32"/>
          <w:szCs w:val="32"/>
        </w:rPr>
        <w:t>立足“9073”养老服务格局，贯彻落实开封市《关于加快推进养老服务发展的实施意见》，坚持党政主导，实施“百千万幸福养老工程”和加快养老服务“六大体系”建设，完善基本养老，发展普惠养老，促进社会化运行，培育养老新兴业态，构建居家社区机构相协调、医养康养相结合的高质量养老服务体系，推动养老事业和产业协调发展，满足老年人多层次、多样化、专业化的养老服务需求。</w:t>
      </w:r>
    </w:p>
    <w:bookmarkEnd w:id="17"/>
    <w:p>
      <w:pPr>
        <w:pStyle w:val="5"/>
        <w:spacing w:before="312" w:after="312"/>
        <w:rPr>
          <w:rFonts w:hint="default" w:ascii="楷体" w:hAnsi="楷体" w:eastAsia="楷体"/>
          <w:b/>
          <w:bCs w:val="0"/>
          <w:sz w:val="32"/>
          <w:szCs w:val="32"/>
        </w:rPr>
      </w:pPr>
      <w:bookmarkStart w:id="18" w:name="_Toc3468"/>
      <w:bookmarkStart w:id="19" w:name="_Toc85117199"/>
      <w:r>
        <w:rPr>
          <w:rFonts w:ascii="楷体" w:hAnsi="楷体" w:eastAsia="楷体"/>
          <w:b/>
          <w:bCs w:val="0"/>
          <w:sz w:val="32"/>
          <w:szCs w:val="32"/>
        </w:rPr>
        <w:t>第一节 扩大养老服务有效供给</w:t>
      </w:r>
      <w:bookmarkEnd w:id="18"/>
      <w:bookmarkEnd w:id="19"/>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大力发展社区居家养老服务。</w:t>
      </w:r>
      <w:r>
        <w:rPr>
          <w:rFonts w:hint="eastAsia" w:ascii="仿宋" w:hAnsi="仿宋" w:eastAsia="仿宋" w:cs="仿宋"/>
          <w:sz w:val="32"/>
          <w:szCs w:val="32"/>
        </w:rPr>
        <w:t>在街道层面建设具备全托、日托、上门服务、对下指导等多功能的综合养老服务中心，在社区层面打造一个综合性社区服务中心，推进社区嵌入式养老机构和综合养老服务中心共同建设，为老年人提供生活照料、助餐助行、紧急救援、精神慰藉等服务。持续推进社区养老服务设施建设工程，大力开展老年人助餐试点工程，积极推进“一刻钟”居家养老服务圈建设，为社区居家老年人提供优质养老服务。积极引导社会力量广泛参与社区养老服务，扶持培养一批综合化、专业化、连锁化、品牌化社区养老服务品牌，并支持其取得合理回报和持续发展。通过购买服务等方式，采取老年餐桌、上门服务等形式，大力发展老年人急需的助餐、助浴、助洁、助医、助购、助急等服务。到2022年，力争所有街道至少建有一个具备多功能的综合养老服务中心，社区养老服务设施实现全覆盖。2025年，争取做到老人身边1公里内就有社区养老服务中心、3公里内就有街道综合养老服务中心，享受完整的“送上门”居家养老服务。</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发挥养老机构补充作用。</w:t>
      </w:r>
      <w:r>
        <w:rPr>
          <w:rFonts w:hint="eastAsia" w:ascii="仿宋" w:hAnsi="仿宋" w:eastAsia="仿宋" w:cs="仿宋"/>
          <w:sz w:val="32"/>
          <w:szCs w:val="32"/>
        </w:rPr>
        <w:t>积极争取各级财政政策支持，通过购买服务、公建民营、合资合作、政府资助等方式，支持各类社会组织和市场主体参与老年人日间照料、老年人活动中心等社区居家养老服务设施建设，努力破解居家养老服务场所有限、资金短缺、运营困难等问题。深入推进特困供养服务设施改造提升工程，到2022年，每个县（区）至少建成1所以失能、部分失能特困人员专业照护为主的县（区）供养服务机构。</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有效拓展农村养老服务。</w:t>
      </w:r>
      <w:r>
        <w:rPr>
          <w:rFonts w:hint="eastAsia" w:ascii="仿宋" w:hAnsi="仿宋" w:eastAsia="仿宋" w:cs="仿宋"/>
          <w:sz w:val="32"/>
          <w:szCs w:val="32"/>
        </w:rPr>
        <w:t>推进有条件的特困人员供养服务设施（敬老院）增加日托、上门服务等功能，助推农村养老服务消费梯次升级。鼓励通过邻里互助、亲友相助、志愿服务等模式，支持农村幸福院等自助式、互助式养老服务发展，将农村养老服务设施建设作为乡村振兴战略重要内容，广泛发展农村普惠、互助养老服务。鼓励盘活利用乡村闲置校舍、厂房等建设幸福院、老年活动中心等乡村养老服务设施。支持发展互助养老模式，构建乡镇牵头，村委会、老年人协会、低龄健康老年人、农村留守妇女、村干部、党员、志愿者等广泛参与的农村互助养老服务格局。</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促进医养结合模式创新。</w:t>
      </w:r>
      <w:r>
        <w:rPr>
          <w:rFonts w:hint="eastAsia" w:ascii="仿宋" w:hAnsi="仿宋" w:eastAsia="仿宋" w:cs="仿宋"/>
          <w:sz w:val="32"/>
          <w:szCs w:val="32"/>
        </w:rPr>
        <w:t>强化医疗卫生与养老服务的衔接，鼓励养老机构和医疗卫生机构转型医养结合机构。支持医疗卫生机构、养老机构、居家社区养老服务组织开展多种形式的合作共建。鼓励二级及以上综合医院开设老年医学科，增加老年病床；推动基层医疗卫生机构提高康复、护理床位比例和增设老年养护、认知障碍、安宁疗护病床。推进基层医疗卫生机构和医务人员与老年人家庭建立签约服务关系，为老年人提供连续性的健康管理和医疗服务。立足黄河流域高质量发展战略，把握休闲养生理念，发展医康养结合养老服务新模式。</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促进养老服务供给市场化。</w:t>
      </w:r>
      <w:r>
        <w:rPr>
          <w:rFonts w:hint="eastAsia" w:ascii="仿宋" w:hAnsi="仿宋" w:eastAsia="仿宋" w:cs="仿宋"/>
          <w:sz w:val="32"/>
          <w:szCs w:val="32"/>
        </w:rPr>
        <w:t xml:space="preserve">持续优化养老服务营商环境，减轻养老服务税费负担，落实各项行政事业性收费减免政策。加大养老服务金融支持力度，鼓励支持金融机构创新金融产品，鼓励支持商业保险机构开发适合老年人实际需求的健康保险、意外伤害保险和护理保险等产品，满足个人和家庭个性化、差异化养老保障需求。推进养老领域“放管服”改革，简化医养结合机构设立流程。支持养老服务机构连锁品牌运营，加强养老服务品牌建设，着力打造培育一批连锁化、社会化的服务品牌，扶持一批标准化、专业化的示范机构，为老年人提供高品质养老服务。加大养老服务对外合作力度，引进一批优质养老资源,提升养老机构和社会组织服务品牌化、连锁化、规模化发展水平。 </w:t>
      </w:r>
    </w:p>
    <w:p>
      <w:pPr>
        <w:pStyle w:val="5"/>
        <w:spacing w:before="312" w:after="312"/>
        <w:rPr>
          <w:rFonts w:hint="default" w:ascii="楷体" w:hAnsi="楷体" w:eastAsia="楷体"/>
          <w:b/>
          <w:bCs w:val="0"/>
          <w:sz w:val="32"/>
          <w:szCs w:val="32"/>
        </w:rPr>
      </w:pPr>
      <w:bookmarkStart w:id="20" w:name="_Toc85117200"/>
      <w:bookmarkStart w:id="21" w:name="_Toc4797"/>
      <w:r>
        <w:rPr>
          <w:rFonts w:ascii="楷体" w:hAnsi="楷体" w:eastAsia="楷体"/>
          <w:b/>
          <w:bCs w:val="0"/>
          <w:sz w:val="32"/>
          <w:szCs w:val="32"/>
        </w:rPr>
        <w:t>第二节 实施养老服务数智化改革</w:t>
      </w:r>
      <w:bookmarkEnd w:id="20"/>
      <w:bookmarkEnd w:id="21"/>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实现数字化社区养老服务改革。</w:t>
      </w:r>
      <w:r>
        <w:rPr>
          <w:rFonts w:hint="eastAsia" w:ascii="仿宋" w:hAnsi="仿宋" w:eastAsia="仿宋" w:cs="仿宋"/>
          <w:sz w:val="32"/>
          <w:szCs w:val="32"/>
        </w:rPr>
        <w:t>充分利用“互联网+”、“文化+”、“智慧城市+”等专项行动，切实把社区居家养老服务设施建设作为主题和基础，与社区建设对接融合。充分发挥社区政务现有的资源优势，大力实施优势互补，资源共享，协调运作，利益分享。加强健康养老大数据挖掘与应用，创新发展慢性病管理、居家健康养老、个性化健康管理、互联网健康咨询、生活照护等健康养老服务模式。</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发挥智慧养老服务平台优势。</w:t>
      </w:r>
      <w:bookmarkStart w:id="22" w:name="_Toc85117201"/>
      <w:r>
        <w:rPr>
          <w:rFonts w:hint="eastAsia" w:ascii="仿宋" w:hAnsi="仿宋" w:eastAsia="仿宋" w:cs="仿宋"/>
          <w:sz w:val="32"/>
          <w:szCs w:val="32"/>
        </w:rPr>
        <w:t>持续推动智慧健康养老产业发展，促进人工智能、物联网、云计算、大数据等新一代信息技术和智能硬件等产品在养老服务领域深度应用。依托智慧养老服务平台，推进与户籍、医疗、社会保险、社会救助等信息资源对接。围绕老年人出行、就医、消费、文娱、办事等服务场景，帮助老年人跨越“数字鸿沟”，至2025年，将开封市打造成为河南省智慧养老示范基地。</w:t>
      </w:r>
    </w:p>
    <w:p>
      <w:pPr>
        <w:pStyle w:val="5"/>
        <w:spacing w:before="312" w:after="312"/>
        <w:rPr>
          <w:rFonts w:hint="default" w:ascii="楷体" w:hAnsi="楷体" w:eastAsia="楷体"/>
          <w:b/>
          <w:bCs w:val="0"/>
          <w:sz w:val="32"/>
          <w:szCs w:val="32"/>
        </w:rPr>
      </w:pPr>
      <w:bookmarkStart w:id="23" w:name="_Toc17408"/>
      <w:r>
        <w:rPr>
          <w:rFonts w:ascii="楷体" w:hAnsi="楷体" w:eastAsia="楷体"/>
          <w:b/>
          <w:bCs w:val="0"/>
          <w:sz w:val="32"/>
          <w:szCs w:val="32"/>
        </w:rPr>
        <w:t>第三节 实现养老人才增量提质</w:t>
      </w:r>
      <w:bookmarkEnd w:id="22"/>
      <w:bookmarkEnd w:id="23"/>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加强院校人才培养合作。</w:t>
      </w:r>
      <w:r>
        <w:rPr>
          <w:rFonts w:hint="eastAsia" w:ascii="仿宋" w:hAnsi="仿宋" w:eastAsia="仿宋" w:cs="仿宋"/>
          <w:sz w:val="32"/>
          <w:szCs w:val="32"/>
        </w:rPr>
        <w:t>积极与河南大学、河南开封科技传媒学院及相关专业高等职业技术学院等高校开展合作，创设养老专业人才培养学院。鼓励本、专科院校毕业生到民办养老机构就业，对开设养老人才培养专业的院校，进行政策扶持，采取对口就业等方式，吸引学生，留住人才。打造养老人才教育培训基地，依托开封市高质量推进“人人持证、技能河南”建设人才倍增计划，实现全市养老服务从业人员培训全覆盖，鼓励已经培训取得资格证书的护理员到民办养老机构就业，力争到2025年，养老服务从业护理人员持证上岗率达到90%以上。</w:t>
      </w:r>
    </w:p>
    <w:p>
      <w:pPr>
        <w:spacing w:line="560" w:lineRule="exact"/>
        <w:ind w:firstLine="643" w:firstLineChars="200"/>
        <w:rPr>
          <w:rFonts w:ascii="仿宋" w:hAnsi="仿宋" w:eastAsia="仿宋" w:cs="仿宋"/>
          <w:strike/>
          <w:sz w:val="32"/>
          <w:szCs w:val="32"/>
        </w:rPr>
      </w:pPr>
      <w:r>
        <w:rPr>
          <w:rFonts w:hint="eastAsia" w:ascii="仿宋" w:hAnsi="仿宋" w:eastAsia="仿宋" w:cs="仿宋"/>
          <w:b/>
          <w:bCs/>
          <w:sz w:val="32"/>
          <w:szCs w:val="32"/>
        </w:rPr>
        <w:t>加强养老人才就业保障。</w:t>
      </w:r>
      <w:r>
        <w:rPr>
          <w:rFonts w:hint="eastAsia" w:ascii="仿宋" w:hAnsi="仿宋" w:eastAsia="仿宋" w:cs="仿宋"/>
          <w:sz w:val="32"/>
          <w:szCs w:val="32"/>
        </w:rPr>
        <w:t>民办养老机构法人单位要依法签订书面劳动合同，按规定足额缴纳各项社会保险。对养老机构吸纳劳动者就业人员，按规定享受就业补助、岗位补贴、社会保险补贴。探索完善养老护理人员岗位薪酬体系，建立引导激励养老护理员晋升发展的长效机制。</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搭建“线上+线下”养老服务志愿者平台。</w:t>
      </w:r>
      <w:r>
        <w:rPr>
          <w:rFonts w:hint="eastAsia" w:ascii="仿宋" w:hAnsi="仿宋" w:eastAsia="仿宋" w:cs="仿宋"/>
          <w:sz w:val="32"/>
          <w:szCs w:val="32"/>
        </w:rPr>
        <w:t>探索“年轻时服务老人、年老时享受服务”的时间银行志愿服务模式，推动“互联网＋养老”深度融合，实现优势互融互通和资源整合共享，积极开展“敬老助老·重在行动”等活动，研究探索养老志愿服务记录制度，推动养老志愿服务活动规范化、信息化、制度化。加大为老助老志愿服务宣传力度，表彰养老志愿服务领域的先进人员和典型事迹，着力营造为老助老志愿服务的良好氛围。深入推进社区、社区社会组织、社会工作者、社区志愿者、社区公益慈善资源联动，</w:t>
      </w:r>
      <w:bookmarkStart w:id="24" w:name="_Toc85117202"/>
      <w:r>
        <w:rPr>
          <w:rFonts w:hint="eastAsia" w:ascii="仿宋" w:hAnsi="仿宋" w:eastAsia="仿宋" w:cs="仿宋"/>
          <w:sz w:val="32"/>
          <w:szCs w:val="32"/>
        </w:rPr>
        <w:t>推动“五社联动”助力养老服务融合发展，不断壮大养老服务志愿队伍。</w:t>
      </w:r>
    </w:p>
    <w:p>
      <w:pPr>
        <w:pStyle w:val="11"/>
        <w:spacing w:line="560" w:lineRule="exact"/>
        <w:ind w:left="0" w:firstLine="643" w:firstLineChars="200"/>
        <w:jc w:val="both"/>
        <w:rPr>
          <w:rFonts w:hint="default" w:ascii="仿宋" w:hAnsi="仿宋" w:eastAsia="仿宋" w:cs="仿宋"/>
          <w:kern w:val="2"/>
          <w:sz w:val="32"/>
          <w:szCs w:val="32"/>
          <w:lang w:eastAsia="zh-CN"/>
        </w:rPr>
      </w:pPr>
      <w:r>
        <w:rPr>
          <w:rFonts w:ascii="仿宋" w:hAnsi="仿宋" w:eastAsia="仿宋" w:cs="仿宋"/>
          <w:b/>
          <w:bCs/>
          <w:kern w:val="2"/>
          <w:sz w:val="32"/>
          <w:szCs w:val="32"/>
          <w:lang w:eastAsia="zh-CN"/>
        </w:rPr>
        <w:t>加强养老服务人才队伍专业化建设。</w:t>
      </w:r>
      <w:r>
        <w:rPr>
          <w:rFonts w:ascii="仿宋" w:hAnsi="仿宋" w:eastAsia="仿宋" w:cs="仿宋"/>
          <w:kern w:val="2"/>
          <w:sz w:val="32"/>
          <w:szCs w:val="32"/>
          <w:lang w:eastAsia="zh-CN"/>
        </w:rPr>
        <w:t>将养老服务人才队伍建设纳入人才教育培训规划，加强对养老服务机构负责人、管理人员的岗前培训及定期培训。</w:t>
      </w:r>
      <w:r>
        <w:rPr>
          <w:rFonts w:ascii="仿宋" w:hAnsi="仿宋" w:eastAsia="仿宋" w:cs="仿宋"/>
          <w:sz w:val="32"/>
          <w:szCs w:val="32"/>
          <w:lang w:eastAsia="zh-CN"/>
        </w:rPr>
        <w:t>将养老护理员纳入职业技能提升行动计划，按照相应补助标准进行补助；鼓励符合条件的本科及以上、专科、中职毕业生入职养老服务行业</w:t>
      </w:r>
      <w:r>
        <w:rPr>
          <w:rFonts w:ascii="仿宋" w:hAnsi="仿宋" w:eastAsia="仿宋" w:cs="仿宋"/>
          <w:kern w:val="2"/>
          <w:sz w:val="32"/>
          <w:szCs w:val="32"/>
          <w:lang w:eastAsia="zh-CN"/>
        </w:rPr>
        <w:t>；吸引高层次人才进入养老服务队伍，建立引导激励养老护理员晋升发展的长效机制。</w:t>
      </w:r>
    </w:p>
    <w:p>
      <w:pPr>
        <w:pStyle w:val="5"/>
        <w:spacing w:before="312" w:after="312"/>
        <w:rPr>
          <w:rFonts w:hint="default" w:ascii="楷体" w:hAnsi="楷体" w:eastAsia="楷体"/>
          <w:b/>
          <w:bCs w:val="0"/>
          <w:sz w:val="32"/>
          <w:szCs w:val="32"/>
        </w:rPr>
      </w:pPr>
      <w:bookmarkStart w:id="25" w:name="_Toc23202"/>
      <w:r>
        <w:rPr>
          <w:rFonts w:ascii="楷体" w:hAnsi="楷体" w:eastAsia="楷体"/>
          <w:b/>
          <w:bCs w:val="0"/>
          <w:sz w:val="32"/>
          <w:szCs w:val="32"/>
        </w:rPr>
        <w:t>第四节 推进养老产业加快发展</w:t>
      </w:r>
      <w:bookmarkEnd w:id="24"/>
      <w:bookmarkEnd w:id="25"/>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大力发展老年用品产业。</w:t>
      </w:r>
      <w:r>
        <w:rPr>
          <w:rFonts w:hint="eastAsia" w:ascii="仿宋" w:hAnsi="仿宋" w:eastAsia="仿宋" w:cs="仿宋"/>
          <w:sz w:val="32"/>
          <w:szCs w:val="32"/>
        </w:rPr>
        <w:t>推动养老服务与文化、旅游、餐饮、体育、家政、教育、养生、健康、金融、地产等行业融合发展，创新培育旅居养老、文化养老、健康养老、养生养老等新模式、新业态。重点支持开封市康复辅具产业园建设，支持老年人康复辅助器具、智能养老装备研发生产。支持养老服务机构、城乡社区开展康复辅助器具配备、租赁、回收业务。</w:t>
      </w:r>
    </w:p>
    <w:p>
      <w:pPr>
        <w:pStyle w:val="2"/>
        <w:ind w:left="0" w:leftChars="0" w:firstLine="643" w:firstLineChars="200"/>
        <w:rPr>
          <w:rFonts w:ascii="仿宋" w:hAnsi="仿宋" w:eastAsia="仿宋" w:cs="仿宋"/>
          <w:sz w:val="32"/>
          <w:szCs w:val="32"/>
        </w:rPr>
      </w:pPr>
      <w:r>
        <w:rPr>
          <w:rFonts w:hint="eastAsia" w:ascii="仿宋" w:hAnsi="仿宋" w:eastAsia="仿宋" w:cs="仿宋"/>
          <w:b/>
          <w:bCs/>
          <w:sz w:val="32"/>
          <w:szCs w:val="32"/>
        </w:rPr>
        <w:t>创立具有开封特色康养服务的品牌。</w:t>
      </w:r>
      <w:r>
        <w:rPr>
          <w:rFonts w:hint="eastAsia" w:ascii="仿宋" w:hAnsi="仿宋" w:eastAsia="仿宋" w:cs="仿宋"/>
          <w:sz w:val="32"/>
          <w:szCs w:val="32"/>
        </w:rPr>
        <w:t>通过市场化、品牌化运作，整合开封全域养老市场资源，建立健全医养有机结合的“机构—社区—居家”全覆盖、多层次养老服务体系。积极培育“银发经济”，丰富养老服务产品供给，适时延伸至养老后市场，建立覆盖全龄全家包含旅居康养、健康管理、医疗康复、护理培训、辅具研发制造、老年产品用品、智慧养老的“养老+”全产业链体系，按照“统一规范建设、统一运营服务、统一名称标识、统一功能布局、统一考核评定”等“五统一”标准，逐步将养老服务产业打造成“全域、全龄、全链”康养服务平台。</w:t>
      </w:r>
    </w:p>
    <w:p>
      <w:pPr>
        <w:pStyle w:val="2"/>
        <w:ind w:left="0" w:leftChars="0" w:firstLine="643" w:firstLineChars="200"/>
        <w:rPr>
          <w:rFonts w:ascii="仿宋" w:hAnsi="仿宋" w:eastAsia="仿宋" w:cs="仿宋"/>
          <w:sz w:val="32"/>
          <w:szCs w:val="32"/>
        </w:rPr>
      </w:pPr>
      <w:r>
        <w:rPr>
          <w:rFonts w:hint="eastAsia" w:ascii="仿宋" w:hAnsi="仿宋" w:eastAsia="仿宋" w:cs="仿宋"/>
          <w:b/>
          <w:bCs/>
          <w:sz w:val="32"/>
          <w:szCs w:val="32"/>
        </w:rPr>
        <w:t>鼓励发展老年宜居产业。</w:t>
      </w:r>
      <w:r>
        <w:rPr>
          <w:rFonts w:hint="eastAsia" w:ascii="仿宋" w:hAnsi="仿宋" w:eastAsia="仿宋" w:cs="仿宋"/>
          <w:sz w:val="32"/>
          <w:szCs w:val="32"/>
        </w:rPr>
        <w:t>在城市规划、土地出让、保障性住房建设中，鼓励建设全龄社区、终身住宅、多代居住宅和连续照护社区，让老年人融入社会，打造年轻人和老年人共同生活、代际融合的家庭、社区和社会场景。立足郑开同城化战略，推进郑开养老服务协同发展，搭建郑开同城化区域内养老产业资源对接、项目合作、人才交流的服务平台，促进城市间养老服务要素流通、项目合作、养老产业联动，大力发展宜居宜养宜游康养新业态。</w:t>
      </w:r>
    </w:p>
    <w:p>
      <w:pPr>
        <w:pStyle w:val="5"/>
        <w:spacing w:before="312" w:after="312"/>
        <w:rPr>
          <w:rFonts w:hint="default" w:ascii="楷体" w:hAnsi="楷体" w:eastAsia="楷体"/>
          <w:b/>
          <w:bCs w:val="0"/>
          <w:sz w:val="32"/>
          <w:szCs w:val="32"/>
        </w:rPr>
      </w:pPr>
      <w:bookmarkStart w:id="26" w:name="_Toc85117203"/>
      <w:bookmarkStart w:id="27" w:name="_Toc4264"/>
      <w:r>
        <w:rPr>
          <w:rFonts w:ascii="楷体" w:hAnsi="楷体" w:eastAsia="楷体"/>
          <w:b/>
          <w:bCs w:val="0"/>
          <w:sz w:val="32"/>
          <w:szCs w:val="32"/>
        </w:rPr>
        <w:t>第五节 健全养老服务综合监管制度</w:t>
      </w:r>
      <w:bookmarkEnd w:id="26"/>
      <w:bookmarkEnd w:id="27"/>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强化养老服务综合监管</w:t>
      </w:r>
      <w:r>
        <w:rPr>
          <w:rFonts w:hint="eastAsia" w:ascii="仿宋" w:hAnsi="仿宋" w:eastAsia="仿宋" w:cs="仿宋"/>
          <w:sz w:val="32"/>
          <w:szCs w:val="32"/>
        </w:rPr>
        <w:t>。建立综合监管、专业监管、信用监管、行业自律互为支撑的全方位监管体系。充分利用智慧养老服务平台、智能云视频系统等现代化手段加强对养老机构疫情防控、安全生产的指导监管。建立公开、透明、规范的养老服务业登记、监管、退出制度，营造平等参与、公平竞争的市场环境。按照“谁审批谁监管、谁主管谁监管”原则，明确各部门监管职责，建立各司其职、各尽其责的跨部门协同监管机制，强化事中事后监管。健全“双随机、一公开”工作机制，建立监管结果与等级评定、财政补贴、政府购买服务以及行业退出等挂钩的协同机制。健全各部门协调配合机制，实现违法线索互联、监管标准互通、处理结果互认，切实减轻养老服务机构和从业人员负担。</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健全养老服务质量综合评估制度。</w:t>
      </w:r>
      <w:r>
        <w:rPr>
          <w:rFonts w:hint="eastAsia" w:ascii="仿宋" w:hAnsi="仿宋" w:eastAsia="仿宋" w:cs="仿宋"/>
          <w:sz w:val="32"/>
          <w:szCs w:val="32"/>
        </w:rPr>
        <w:t>建立以养老服务标准为依据的质量提升长效机制，加强对养老服务评估、培训等第三方中介机构的监管，规范政府购买服务承办机构的操作流程，建立养老机构疫情防控常态化运行规范。贯彻实施《养老机构等级划分与评定》国家标准和实施指南，全面开展新的养老机构等级评定工作，切实提高养老机构服务质量。</w:t>
      </w:r>
    </w:p>
    <w:p>
      <w:pPr>
        <w:pStyle w:val="11"/>
        <w:spacing w:line="560" w:lineRule="exact"/>
        <w:ind w:left="0" w:firstLine="643" w:firstLineChars="200"/>
        <w:jc w:val="both"/>
        <w:rPr>
          <w:rFonts w:hint="default" w:ascii="仿宋" w:hAnsi="仿宋" w:eastAsia="仿宋" w:cs="仿宋"/>
          <w:kern w:val="2"/>
          <w:sz w:val="32"/>
          <w:szCs w:val="32"/>
          <w:lang w:eastAsia="zh-CN"/>
        </w:rPr>
      </w:pPr>
      <w:r>
        <w:rPr>
          <w:rFonts w:ascii="仿宋" w:hAnsi="仿宋" w:eastAsia="仿宋" w:cs="仿宋"/>
          <w:b/>
          <w:bCs/>
          <w:kern w:val="2"/>
          <w:sz w:val="32"/>
          <w:szCs w:val="32"/>
          <w:lang w:eastAsia="zh-CN"/>
        </w:rPr>
        <w:t>提高养老应急救援能力。</w:t>
      </w:r>
      <w:r>
        <w:rPr>
          <w:rFonts w:ascii="仿宋" w:hAnsi="仿宋" w:eastAsia="仿宋" w:cs="仿宋"/>
          <w:kern w:val="2"/>
          <w:sz w:val="32"/>
          <w:szCs w:val="32"/>
          <w:lang w:eastAsia="zh-CN"/>
        </w:rPr>
        <w:t>在国家养老服务应急救援体系框架下，推进“分层分类、平战结合、高效协作”的养老服务应急救援体系建设。建立健全养老服务突发事件的预防与应急准备、监测与预警、应急处置与救援、事后恢复与重建等工作机制，提升养老服务领域突发事件应急管理能力。</w:t>
      </w:r>
    </w:p>
    <w:p>
      <w:pPr>
        <w:pStyle w:val="5"/>
        <w:spacing w:before="312" w:after="312"/>
        <w:rPr>
          <w:rFonts w:hint="default" w:ascii="楷体" w:hAnsi="楷体" w:eastAsia="楷体"/>
          <w:b/>
          <w:bCs w:val="0"/>
          <w:sz w:val="32"/>
          <w:szCs w:val="32"/>
        </w:rPr>
      </w:pPr>
      <w:bookmarkStart w:id="28" w:name="_Toc21830"/>
      <w:r>
        <w:rPr>
          <w:rFonts w:ascii="楷体" w:hAnsi="楷体" w:eastAsia="楷体"/>
          <w:b/>
          <w:bCs w:val="0"/>
          <w:sz w:val="32"/>
          <w:szCs w:val="32"/>
        </w:rPr>
        <w:t>第六节 强化养老服务制度保障</w:t>
      </w:r>
      <w:bookmarkEnd w:id="28"/>
    </w:p>
    <w:p>
      <w:pPr>
        <w:spacing w:line="560" w:lineRule="exact"/>
        <w:ind w:firstLine="643" w:firstLineChars="200"/>
        <w:rPr>
          <w:rFonts w:ascii="仿宋" w:hAnsi="仿宋" w:eastAsia="仿宋" w:cs="仿宋"/>
          <w:bCs/>
          <w:kern w:val="0"/>
          <w:sz w:val="32"/>
          <w:szCs w:val="32"/>
        </w:rPr>
      </w:pPr>
      <w:r>
        <w:rPr>
          <w:rFonts w:hint="eastAsia" w:ascii="仿宋" w:hAnsi="仿宋" w:eastAsia="仿宋" w:cs="仿宋"/>
          <w:b/>
          <w:kern w:val="0"/>
          <w:sz w:val="32"/>
          <w:szCs w:val="32"/>
        </w:rPr>
        <w:t>强化政策引领。</w:t>
      </w:r>
      <w:r>
        <w:rPr>
          <w:rFonts w:hint="eastAsia" w:ascii="仿宋" w:hAnsi="仿宋" w:eastAsia="仿宋" w:cs="仿宋"/>
          <w:bCs/>
          <w:kern w:val="0"/>
          <w:sz w:val="32"/>
          <w:szCs w:val="32"/>
        </w:rPr>
        <w:t>完善养老服务政策体系，出台居家社区机构相协调、医养康养相结合的养老服务框架、政策、制度、标准体系，充分释放养老服务发展活力。加强老年人福利保障，完善老年人津补贴制度，统筹高龄津贴、护理补贴、服务补贴等政策，强化与残疾人“两项补贴”、社会救助等政策的衔接。建立健全老年人能力综合评估制度，提高老年人津补贴发放精准度和有效性。</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kern w:val="0"/>
          <w:sz w:val="32"/>
          <w:szCs w:val="32"/>
        </w:rPr>
        <w:t>坚持规划先行。</w:t>
      </w:r>
      <w:r>
        <w:rPr>
          <w:rFonts w:hint="eastAsia" w:ascii="仿宋" w:hAnsi="仿宋" w:eastAsia="仿宋" w:cs="仿宋"/>
          <w:bCs/>
          <w:kern w:val="0"/>
          <w:sz w:val="32"/>
          <w:szCs w:val="32"/>
        </w:rPr>
        <w:t>编制《开封市养老服务高质量发展专项规划》，与开封市整体城市定位和战略空间布局相结合，统筹考虑养老服务布局规模、设施类型，科学构建养老服务分布格局，谋划“十四五”期间养老服务重点设施建设项目。</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完善推进机制。</w:t>
      </w:r>
      <w:r>
        <w:rPr>
          <w:rFonts w:hint="eastAsia" w:ascii="仿宋" w:hAnsi="仿宋" w:eastAsia="仿宋" w:cs="仿宋"/>
          <w:sz w:val="32"/>
          <w:szCs w:val="32"/>
        </w:rPr>
        <w:t>建立健全民政部门主导的政府统一领导、部门分工协作、社会广泛参与的工作机制，明确目标任务，精心组织实施。健全经费保障机制，进一步加大城镇社区养老服务体系建设的资金保障力度。落实“新建居住（小）区每百户不低于30平方米的标准、</w:t>
      </w:r>
      <w:r>
        <w:rPr>
          <w:rFonts w:hint="eastAsia" w:ascii="仿宋" w:hAnsi="仿宋" w:eastAsia="仿宋" w:cs="仿宋"/>
          <w:sz w:val="32"/>
          <w:szCs w:val="32"/>
          <w:lang w:eastAsia="zh-CN"/>
        </w:rPr>
        <w:t>旧城区和</w:t>
      </w:r>
      <w:r>
        <w:rPr>
          <w:rFonts w:hint="eastAsia" w:ascii="仿宋" w:hAnsi="仿宋" w:eastAsia="仿宋" w:cs="仿宋"/>
          <w:sz w:val="32"/>
          <w:szCs w:val="32"/>
        </w:rPr>
        <w:t>已建住宅</w:t>
      </w:r>
      <w:r>
        <w:rPr>
          <w:rFonts w:hint="eastAsia" w:ascii="仿宋" w:hAnsi="仿宋" w:eastAsia="仿宋" w:cs="仿宋"/>
          <w:sz w:val="32"/>
          <w:szCs w:val="32"/>
          <w:lang w:eastAsia="zh-CN"/>
        </w:rPr>
        <w:t>小</w:t>
      </w:r>
      <w:r>
        <w:rPr>
          <w:rFonts w:hint="eastAsia" w:ascii="仿宋" w:hAnsi="仿宋" w:eastAsia="仿宋" w:cs="仿宋"/>
          <w:sz w:val="32"/>
          <w:szCs w:val="32"/>
        </w:rPr>
        <w:t>区每百户不低于20平方米的标准配置社区养老服务设施”的要求，促进城镇社区养老服务设施建设的组织、实施、管理和服务重心下移，完善社区养老服务设施建设管理机制，落实街道（办事处）、社区养老服务工作责任，充分发挥街道、社区等基层组织作用。</w:t>
      </w:r>
    </w:p>
    <w:p>
      <w:pPr>
        <w:pStyle w:val="11"/>
        <w:spacing w:line="560" w:lineRule="exact"/>
        <w:ind w:left="0" w:firstLine="643" w:firstLineChars="200"/>
        <w:rPr>
          <w:rFonts w:hint="default" w:ascii="仿宋" w:hAnsi="仿宋" w:eastAsia="仿宋" w:cs="仿宋"/>
          <w:b/>
          <w:bCs/>
          <w:kern w:val="2"/>
          <w:sz w:val="32"/>
          <w:szCs w:val="32"/>
          <w:lang w:eastAsia="zh-CN"/>
        </w:rPr>
      </w:pPr>
      <w:r>
        <w:rPr>
          <w:rFonts w:ascii="仿宋" w:hAnsi="仿宋" w:eastAsia="仿宋" w:cs="仿宋"/>
          <w:b/>
          <w:bCs/>
          <w:kern w:val="2"/>
          <w:sz w:val="32"/>
          <w:szCs w:val="32"/>
          <w:lang w:eastAsia="zh-CN"/>
        </w:rPr>
        <w:t>加大扶持力度。</w:t>
      </w:r>
      <w:r>
        <w:rPr>
          <w:rFonts w:ascii="仿宋" w:hAnsi="仿宋" w:eastAsia="仿宋" w:cs="仿宋"/>
          <w:kern w:val="2"/>
          <w:sz w:val="32"/>
          <w:szCs w:val="32"/>
          <w:lang w:eastAsia="zh-CN"/>
        </w:rPr>
        <w:t>加大财政支持养老服务资金投入，加大福利彩票公益金倾斜力度，用于支持发展养老服务的福彩公益金比例不低于55%。完善养老服务机构建设运营补贴制度，探索建立建设补贴、运营补贴自然增长机制。</w:t>
      </w:r>
    </w:p>
    <w:p>
      <w:pPr>
        <w:ind w:firstLine="643" w:firstLineChars="200"/>
        <w:rPr>
          <w:rFonts w:ascii="仿宋" w:hAnsi="仿宋" w:eastAsia="仿宋" w:cs="仿宋"/>
          <w:sz w:val="32"/>
          <w:szCs w:val="32"/>
        </w:rPr>
      </w:pPr>
      <w:r>
        <w:rPr>
          <w:rFonts w:hint="eastAsia" w:ascii="仿宋" w:hAnsi="仿宋" w:eastAsia="仿宋" w:cs="仿宋"/>
          <w:b/>
          <w:bCs/>
          <w:sz w:val="32"/>
          <w:szCs w:val="32"/>
        </w:rPr>
        <w:t>配合完善长期护理保险制度。</w:t>
      </w:r>
      <w:r>
        <w:rPr>
          <w:rFonts w:hint="eastAsia" w:ascii="仿宋" w:hAnsi="仿宋" w:eastAsia="仿宋" w:cs="仿宋"/>
          <w:sz w:val="32"/>
          <w:szCs w:val="32"/>
        </w:rPr>
        <w:t>鼓励引导养老机构积极申报长期护理保险定点护理服务机构，有条件的机构经相关部门审批，可为长期护理保险参保人提供上门护理服务。加强长期护理保险政策宣传和解读工作，提升养老护理服务质量，切实保障失能人员权益。</w:t>
      </w:r>
    </w:p>
    <w:tbl>
      <w:tblPr>
        <w:tblStyle w:val="26"/>
        <w:tblW w:w="8192" w:type="dxa"/>
        <w:jc w:val="center"/>
        <w:tblLayout w:type="fixed"/>
        <w:tblCellMar>
          <w:top w:w="0" w:type="dxa"/>
          <w:left w:w="0" w:type="dxa"/>
          <w:bottom w:w="0" w:type="dxa"/>
          <w:right w:w="0" w:type="dxa"/>
        </w:tblCellMar>
      </w:tblPr>
      <w:tblGrid>
        <w:gridCol w:w="8192"/>
      </w:tblGrid>
      <w:tr>
        <w:tblPrEx>
          <w:tblCellMar>
            <w:top w:w="0" w:type="dxa"/>
            <w:left w:w="0" w:type="dxa"/>
            <w:bottom w:w="0" w:type="dxa"/>
            <w:right w:w="0" w:type="dxa"/>
          </w:tblCellMar>
        </w:tblPrEx>
        <w:trPr>
          <w:trHeight w:val="640" w:hRule="atLeast"/>
          <w:jc w:val="center"/>
        </w:trPr>
        <w:tc>
          <w:tcPr>
            <w:tcW w:w="8192"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widowControl/>
              <w:wordWrap w:val="0"/>
              <w:spacing w:line="320" w:lineRule="atLeast"/>
              <w:jc w:val="center"/>
              <w:rPr>
                <w:rFonts w:ascii="黑体" w:hAnsi="黑体" w:eastAsia="黑体"/>
                <w:spacing w:val="8"/>
                <w:kern w:val="0"/>
                <w:sz w:val="24"/>
                <w:szCs w:val="24"/>
              </w:rPr>
            </w:pPr>
            <w:r>
              <w:rPr>
                <w:rFonts w:hint="eastAsia" w:ascii="黑体" w:hAnsi="黑体" w:eastAsia="黑体" w:cs="宋体"/>
                <w:sz w:val="24"/>
                <w:szCs w:val="24"/>
              </w:rPr>
              <w:t>专栏3：幸福开封“开心养”行动</w:t>
            </w:r>
          </w:p>
        </w:tc>
      </w:tr>
      <w:tr>
        <w:tblPrEx>
          <w:tblCellMar>
            <w:top w:w="0" w:type="dxa"/>
            <w:left w:w="0" w:type="dxa"/>
            <w:bottom w:w="0" w:type="dxa"/>
            <w:right w:w="0" w:type="dxa"/>
          </w:tblCellMar>
        </w:tblPrEx>
        <w:trPr>
          <w:trHeight w:val="640" w:hRule="atLeast"/>
          <w:jc w:val="center"/>
        </w:trPr>
        <w:tc>
          <w:tcPr>
            <w:tcW w:w="8192"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spacing w:line="360" w:lineRule="auto"/>
              <w:ind w:firstLine="482" w:firstLineChars="200"/>
              <w:rPr>
                <w:rFonts w:ascii="仿宋" w:hAnsi="仿宋" w:eastAsia="仿宋"/>
                <w:sz w:val="24"/>
                <w:szCs w:val="24"/>
              </w:rPr>
            </w:pPr>
            <w:r>
              <w:rPr>
                <w:rFonts w:hint="eastAsia" w:ascii="仿宋" w:hAnsi="仿宋" w:eastAsia="仿宋"/>
                <w:b/>
                <w:bCs/>
                <w:sz w:val="24"/>
                <w:szCs w:val="24"/>
              </w:rPr>
              <w:t>1.“9073”养老格局。</w:t>
            </w:r>
            <w:r>
              <w:rPr>
                <w:rFonts w:hint="eastAsia" w:ascii="仿宋" w:hAnsi="仿宋" w:eastAsia="仿宋"/>
                <w:sz w:val="24"/>
                <w:szCs w:val="24"/>
              </w:rPr>
              <w:t>我国老年人大多数都在居家养老或社区养老，形成了“9073”的格局，即90%左右的老年人偏好在居家养老，7%左右的老年人依托社区支持养老，3%的老年人入住机构养老。</w:t>
            </w:r>
          </w:p>
          <w:p>
            <w:pPr>
              <w:spacing w:line="360" w:lineRule="auto"/>
              <w:ind w:firstLine="482" w:firstLineChars="200"/>
              <w:rPr>
                <w:rFonts w:ascii="仿宋" w:hAnsi="仿宋" w:eastAsia="仿宋"/>
                <w:sz w:val="24"/>
                <w:szCs w:val="24"/>
              </w:rPr>
            </w:pPr>
            <w:r>
              <w:rPr>
                <w:rFonts w:hint="eastAsia" w:ascii="仿宋" w:hAnsi="仿宋" w:eastAsia="仿宋"/>
                <w:b/>
                <w:bCs/>
                <w:sz w:val="24"/>
                <w:szCs w:val="24"/>
              </w:rPr>
              <w:t>2</w:t>
            </w:r>
            <w:r>
              <w:rPr>
                <w:rFonts w:ascii="仿宋" w:hAnsi="仿宋" w:eastAsia="仿宋"/>
                <w:b/>
                <w:bCs/>
                <w:sz w:val="24"/>
                <w:szCs w:val="24"/>
              </w:rPr>
              <w:t>.</w:t>
            </w:r>
            <w:r>
              <w:rPr>
                <w:rFonts w:hint="eastAsia" w:ascii="仿宋" w:hAnsi="仿宋" w:eastAsia="仿宋"/>
                <w:b/>
                <w:bCs/>
                <w:sz w:val="24"/>
                <w:szCs w:val="24"/>
              </w:rPr>
              <w:t>实施“百千万幸福养老工程”。</w:t>
            </w:r>
            <w:r>
              <w:rPr>
                <w:rFonts w:hint="eastAsia" w:ascii="仿宋" w:hAnsi="仿宋" w:eastAsia="仿宋"/>
                <w:sz w:val="24"/>
                <w:szCs w:val="24"/>
              </w:rPr>
              <w:t>推进建设100所街道综合养老服务中心和乡镇敬老院，1000所社区养老服务设施和农村幸福院，构建市、县、乡、村四级养老服务体系，提高养老服务便利化、适老化水平，有效服务全市93万老年人。</w:t>
            </w:r>
          </w:p>
          <w:p>
            <w:pPr>
              <w:widowControl/>
              <w:spacing w:line="360" w:lineRule="auto"/>
              <w:ind w:firstLine="482" w:firstLineChars="200"/>
              <w:rPr>
                <w:rFonts w:ascii="仿宋" w:hAnsi="仿宋" w:eastAsia="仿宋"/>
                <w:sz w:val="24"/>
                <w:szCs w:val="24"/>
              </w:rPr>
            </w:pPr>
            <w:r>
              <w:rPr>
                <w:rFonts w:hint="eastAsia" w:ascii="仿宋" w:hAnsi="仿宋" w:eastAsia="仿宋"/>
                <w:b/>
                <w:bCs/>
                <w:sz w:val="24"/>
                <w:szCs w:val="24"/>
              </w:rPr>
              <w:t>3</w:t>
            </w:r>
            <w:r>
              <w:rPr>
                <w:rFonts w:ascii="仿宋" w:hAnsi="仿宋" w:eastAsia="仿宋"/>
                <w:b/>
                <w:bCs/>
                <w:sz w:val="24"/>
                <w:szCs w:val="24"/>
              </w:rPr>
              <w:t>.</w:t>
            </w:r>
            <w:r>
              <w:rPr>
                <w:rFonts w:hint="eastAsia" w:ascii="仿宋" w:hAnsi="仿宋" w:eastAsia="仿宋"/>
                <w:b/>
                <w:bCs/>
                <w:sz w:val="24"/>
                <w:szCs w:val="24"/>
              </w:rPr>
              <w:t>长期护理保险制度试点规划。</w:t>
            </w:r>
            <w:r>
              <w:rPr>
                <w:rFonts w:hint="eastAsia" w:ascii="仿宋" w:hAnsi="仿宋" w:eastAsia="仿宋"/>
                <w:sz w:val="24"/>
                <w:szCs w:val="24"/>
              </w:rPr>
              <w:t>加快推动长期护理保险制度试点工作，尽快建立覆盖全民的长期护理保险制度。鼓励发展商业长期护理保险，加快专业人才培养和相关制度保障，完善护理机构及护理队伍建设，力争在2025年建立、健全多层次长期护理保险保障体系，有效防范、积极应对老龄化风险和问题。</w:t>
            </w:r>
          </w:p>
          <w:p>
            <w:pPr>
              <w:widowControl/>
              <w:spacing w:line="360" w:lineRule="auto"/>
              <w:ind w:firstLine="482" w:firstLineChars="200"/>
              <w:rPr>
                <w:sz w:val="24"/>
                <w:szCs w:val="24"/>
              </w:rPr>
            </w:pPr>
            <w:r>
              <w:rPr>
                <w:rFonts w:hint="eastAsia" w:ascii="仿宋" w:hAnsi="仿宋" w:eastAsia="仿宋"/>
                <w:b/>
                <w:bCs/>
                <w:sz w:val="24"/>
                <w:szCs w:val="24"/>
              </w:rPr>
              <w:t>4 .养老服务人才培训提升计划。</w:t>
            </w:r>
            <w:r>
              <w:rPr>
                <w:rFonts w:hint="eastAsia" w:ascii="仿宋" w:hAnsi="仿宋" w:eastAsia="仿宋"/>
                <w:sz w:val="24"/>
                <w:szCs w:val="24"/>
              </w:rPr>
              <w:t>加强院校人才培养合作，对开设养老人才培养专业的院校，进行政策扶持，力争到2025年，从业护理人员的持证上岗率达到90%以上。探索建立老护理人员岗位薪酬体系，建立引导激励养老护理员晋升发展的长效机制。搭建养老服务志愿者平台，积极开展“线上+线下”养老志愿服务。</w:t>
            </w:r>
          </w:p>
        </w:tc>
      </w:tr>
    </w:tbl>
    <w:p>
      <w:pPr>
        <w:rPr>
          <w:sz w:val="32"/>
          <w:szCs w:val="32"/>
        </w:rPr>
      </w:pPr>
    </w:p>
    <w:p>
      <w:pPr>
        <w:pStyle w:val="4"/>
        <w:spacing w:before="624" w:after="624"/>
        <w:ind w:left="0"/>
        <w:rPr>
          <w:rFonts w:ascii="黑体" w:hAnsi="黑体" w:eastAsia="黑体" w:cs="黑体"/>
          <w:sz w:val="32"/>
          <w:szCs w:val="32"/>
        </w:rPr>
      </w:pPr>
      <w:bookmarkStart w:id="29" w:name="_Toc5641"/>
      <w:r>
        <w:rPr>
          <w:rFonts w:hint="eastAsia" w:ascii="黑体" w:hAnsi="黑体" w:eastAsia="黑体" w:cs="黑体"/>
          <w:sz w:val="32"/>
          <w:szCs w:val="32"/>
        </w:rPr>
        <w:t>第四章 织密扎牢民生保障安全网</w:t>
      </w:r>
      <w:bookmarkEnd w:id="29"/>
    </w:p>
    <w:p>
      <w:pPr>
        <w:ind w:firstLine="640" w:firstLineChars="200"/>
        <w:rPr>
          <w:rFonts w:ascii="仿宋" w:hAnsi="仿宋" w:eastAsia="仿宋"/>
          <w:strike/>
          <w:sz w:val="32"/>
          <w:szCs w:val="32"/>
        </w:rPr>
      </w:pPr>
      <w:r>
        <w:rPr>
          <w:rFonts w:hint="eastAsia" w:ascii="仿宋" w:hAnsi="仿宋" w:eastAsia="仿宋"/>
          <w:sz w:val="32"/>
          <w:szCs w:val="32"/>
        </w:rPr>
        <w:t>建立健全兜底保障机制，激发社会力量有效参与，兜牢基本民生保障安全网。创新社会救助机制，实现社会救助与助力共同富裕、社会保险、社会福利等社会保障制度无缝衔接，形成开封特色的现代大救助体系。</w:t>
      </w:r>
    </w:p>
    <w:p>
      <w:pPr>
        <w:pStyle w:val="5"/>
        <w:spacing w:before="312" w:after="312"/>
        <w:rPr>
          <w:rFonts w:hint="default" w:ascii="楷体" w:hAnsi="楷体" w:eastAsia="楷体"/>
          <w:b/>
          <w:bCs w:val="0"/>
          <w:sz w:val="32"/>
          <w:szCs w:val="32"/>
        </w:rPr>
      </w:pPr>
      <w:bookmarkStart w:id="30" w:name="_Toc8153"/>
      <w:r>
        <w:rPr>
          <w:rFonts w:ascii="楷体" w:hAnsi="楷体" w:eastAsia="楷体"/>
          <w:b/>
          <w:bCs w:val="0"/>
          <w:sz w:val="32"/>
          <w:szCs w:val="32"/>
        </w:rPr>
        <w:t>第一节 巩固拓展脱贫攻坚兜底保障成果</w:t>
      </w:r>
      <w:bookmarkEnd w:id="30"/>
    </w:p>
    <w:p>
      <w:pPr>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明确政府保基本、兜底线、促公平职责，落实重点民生实事，建立健全兜底保障网，完善社会救助机制，加快儿童福利事业发展，对困难老人、重度残疾人、重病患者、困境儿童、特困人员等特殊贫困群体制定特惠政策，持续加大民生救助保障投入力度，推动社会救助领域的政府职能转变，打造坚实的民生保障基础，推进社会救助制度城乡统筹发展，加大农村社会救助投入力度，统筹推进农村民政服务设施和村级综合服务设施建设。 </w:t>
      </w:r>
    </w:p>
    <w:p>
      <w:pPr>
        <w:spacing w:line="560" w:lineRule="exact"/>
        <w:ind w:firstLine="640" w:firstLineChars="200"/>
        <w:textAlignment w:val="baseline"/>
        <w:rPr>
          <w:rFonts w:ascii="仿宋" w:hAnsi="仿宋" w:eastAsia="仿宋" w:cs="宋体"/>
          <w:sz w:val="32"/>
          <w:szCs w:val="32"/>
        </w:rPr>
      </w:pPr>
      <w:r>
        <w:rPr>
          <w:rFonts w:hint="eastAsia" w:ascii="仿宋" w:hAnsi="仿宋" w:eastAsia="仿宋" w:cs="宋体"/>
          <w:sz w:val="32"/>
          <w:szCs w:val="32"/>
        </w:rPr>
        <w:t>严格落实“四个不摘”要求</w:t>
      </w:r>
      <w:r>
        <w:rPr>
          <w:rFonts w:hint="eastAsia" w:ascii="仿宋" w:hAnsi="仿宋" w:eastAsia="仿宋"/>
          <w:sz w:val="32"/>
          <w:szCs w:val="32"/>
        </w:rPr>
        <w:t>,</w:t>
      </w:r>
      <w:r>
        <w:rPr>
          <w:rFonts w:hint="eastAsia" w:ascii="仿宋" w:hAnsi="仿宋" w:eastAsia="仿宋" w:cs="宋体"/>
          <w:sz w:val="32"/>
          <w:szCs w:val="32"/>
        </w:rPr>
        <w:t>保持农村社会救助政策持续稳定，综合考虑居民人均消费支出或人均可支配收入等因素，结合开封市实际，建立基本生活救助保障标准动态调整机制，对符合最低生活保障或特困救助供养条件的人员给予基本生活救助。同时，根据实际需要，给予相应的医疗、住房、教育、就业等专项社会救助。对遭遇突发事件、意外伤害、重大疾病，受传染病疫情等突发公共卫生事件影响或由于其他特殊原因导致基本生活暂时陷入困境的家庭或个人，以及临时遇困、生活无着人员，给予急难社会救助。对遭遇自然灾害的，给予受灾人员救助。</w:t>
      </w:r>
    </w:p>
    <w:p>
      <w:pPr>
        <w:pStyle w:val="2"/>
      </w:pPr>
    </w:p>
    <w:p/>
    <w:p>
      <w:pPr>
        <w:pStyle w:val="2"/>
      </w:pPr>
    </w:p>
    <w:tbl>
      <w:tblPr>
        <w:tblStyle w:val="26"/>
        <w:tblW w:w="8192" w:type="dxa"/>
        <w:jc w:val="center"/>
        <w:tblLayout w:type="fixed"/>
        <w:tblCellMar>
          <w:top w:w="0" w:type="dxa"/>
          <w:left w:w="0" w:type="dxa"/>
          <w:bottom w:w="0" w:type="dxa"/>
          <w:right w:w="0" w:type="dxa"/>
        </w:tblCellMar>
      </w:tblPr>
      <w:tblGrid>
        <w:gridCol w:w="8192"/>
      </w:tblGrid>
      <w:tr>
        <w:tblPrEx>
          <w:tblCellMar>
            <w:top w:w="0" w:type="dxa"/>
            <w:left w:w="0" w:type="dxa"/>
            <w:bottom w:w="0" w:type="dxa"/>
            <w:right w:w="0" w:type="dxa"/>
          </w:tblCellMar>
        </w:tblPrEx>
        <w:trPr>
          <w:trHeight w:val="640" w:hRule="atLeast"/>
          <w:jc w:val="center"/>
        </w:trPr>
        <w:tc>
          <w:tcPr>
            <w:tcW w:w="8192"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widowControl/>
              <w:wordWrap w:val="0"/>
              <w:spacing w:line="320" w:lineRule="atLeast"/>
              <w:jc w:val="center"/>
              <w:rPr>
                <w:rFonts w:ascii="黑体" w:hAnsi="黑体" w:eastAsia="黑体"/>
                <w:spacing w:val="8"/>
                <w:kern w:val="0"/>
                <w:sz w:val="24"/>
                <w:szCs w:val="24"/>
              </w:rPr>
            </w:pPr>
            <w:bookmarkStart w:id="31" w:name="_Hlk86080864"/>
            <w:r>
              <w:rPr>
                <w:rFonts w:hint="eastAsia" w:ascii="黑体" w:hAnsi="黑体" w:eastAsia="黑体"/>
                <w:sz w:val="24"/>
                <w:szCs w:val="24"/>
              </w:rPr>
              <w:t>专栏4：民生保障兜底建设计划</w:t>
            </w:r>
          </w:p>
        </w:tc>
      </w:tr>
      <w:tr>
        <w:tblPrEx>
          <w:tblCellMar>
            <w:top w:w="0" w:type="dxa"/>
            <w:left w:w="0" w:type="dxa"/>
            <w:bottom w:w="0" w:type="dxa"/>
            <w:right w:w="0" w:type="dxa"/>
          </w:tblCellMar>
        </w:tblPrEx>
        <w:trPr>
          <w:trHeight w:val="640" w:hRule="atLeast"/>
          <w:jc w:val="center"/>
        </w:trPr>
        <w:tc>
          <w:tcPr>
            <w:tcW w:w="8192"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widowControl/>
              <w:spacing w:line="360" w:lineRule="auto"/>
              <w:ind w:firstLine="480" w:firstLineChars="200"/>
              <w:rPr>
                <w:rFonts w:ascii="仿宋" w:hAnsi="仿宋" w:eastAsia="仿宋" w:cs="仿宋_GB2312"/>
                <w:spacing w:val="8"/>
                <w:kern w:val="0"/>
                <w:sz w:val="24"/>
                <w:szCs w:val="24"/>
              </w:rPr>
            </w:pPr>
            <w:r>
              <w:rPr>
                <w:rFonts w:hint="eastAsia" w:ascii="仿宋" w:hAnsi="仿宋" w:eastAsia="仿宋" w:cs="宋体"/>
                <w:sz w:val="24"/>
                <w:szCs w:val="24"/>
              </w:rPr>
              <w:t>加强兜底保障网建设，积极</w:t>
            </w:r>
            <w:r>
              <w:rPr>
                <w:rFonts w:hint="eastAsia" w:ascii="仿宋" w:hAnsi="仿宋" w:eastAsia="仿宋"/>
                <w:sz w:val="24"/>
                <w:szCs w:val="24"/>
              </w:rPr>
              <w:t>构建以基本生活救助为基础、专项社会救助为支撑、急难社会救助为辅助、社会力量参与为补充的分层分类救助体系，</w:t>
            </w:r>
            <w:r>
              <w:rPr>
                <w:rFonts w:hint="eastAsia" w:ascii="仿宋" w:hAnsi="仿宋" w:eastAsia="仿宋" w:cs="宋体"/>
                <w:sz w:val="24"/>
                <w:szCs w:val="24"/>
              </w:rPr>
              <w:t>积极开展开封市兜底保障“查弱项、补短板、促提升”行动，切实做到民政服务领域应保尽保、应兜尽兜。</w:t>
            </w:r>
          </w:p>
        </w:tc>
      </w:tr>
      <w:bookmarkEnd w:id="31"/>
    </w:tbl>
    <w:p>
      <w:pPr>
        <w:pStyle w:val="5"/>
        <w:spacing w:before="312" w:after="312"/>
        <w:rPr>
          <w:rFonts w:hint="default" w:ascii="楷体" w:hAnsi="楷体" w:eastAsia="楷体"/>
          <w:b/>
          <w:bCs w:val="0"/>
          <w:sz w:val="32"/>
          <w:szCs w:val="32"/>
        </w:rPr>
      </w:pPr>
      <w:bookmarkStart w:id="32" w:name="_Toc30288"/>
      <w:r>
        <w:rPr>
          <w:rFonts w:ascii="楷体" w:hAnsi="楷体" w:eastAsia="楷体"/>
          <w:b/>
          <w:bCs w:val="0"/>
          <w:sz w:val="32"/>
          <w:szCs w:val="32"/>
        </w:rPr>
        <w:t>第二节 建立健全分层分类的社会救助体系</w:t>
      </w:r>
      <w:bookmarkEnd w:id="32"/>
    </w:p>
    <w:p>
      <w:pPr>
        <w:spacing w:line="540" w:lineRule="exact"/>
        <w:ind w:firstLine="720"/>
        <w:jc w:val="left"/>
        <w:rPr>
          <w:rFonts w:ascii="仿宋" w:hAnsi="仿宋" w:eastAsia="仿宋"/>
          <w:kern w:val="0"/>
          <w:sz w:val="32"/>
          <w:szCs w:val="32"/>
        </w:rPr>
      </w:pPr>
      <w:r>
        <w:rPr>
          <w:rFonts w:hint="eastAsia" w:ascii="仿宋" w:hAnsi="仿宋" w:eastAsia="仿宋"/>
          <w:b/>
          <w:bCs/>
          <w:kern w:val="0"/>
          <w:sz w:val="32"/>
          <w:szCs w:val="32"/>
        </w:rPr>
        <w:t>健全完善救助制度体系。</w:t>
      </w:r>
      <w:r>
        <w:rPr>
          <w:rFonts w:hint="eastAsia" w:ascii="仿宋" w:hAnsi="仿宋" w:eastAsia="仿宋"/>
          <w:sz w:val="32"/>
          <w:szCs w:val="32"/>
        </w:rPr>
        <w:t>积极推进大救助资源整合，完善基本生活救助制度，落实最低生活保障审核确认办法和特困人员认定办法。</w:t>
      </w:r>
      <w:r>
        <w:rPr>
          <w:rFonts w:hint="eastAsia" w:ascii="仿宋" w:hAnsi="仿宋" w:eastAsia="仿宋"/>
          <w:kern w:val="0"/>
          <w:sz w:val="32"/>
          <w:szCs w:val="32"/>
        </w:rPr>
        <w:t>扎实推进低保、特困和小额临时救助审核确认权限下放。落实低保边缘家庭认定工作。完善临时救助备用金制度，加强备用金规范使用。积极推行持有居住证人员在居住地申请社会救助，对符合条件的农业转移人口提供相应救助帮扶。完善低收入人口救助制度，逐步扩大社会救助范围，推动医疗、住房、教育、就业等专项救助向低保边缘家庭和支出型困难家庭延伸。</w:t>
      </w:r>
    </w:p>
    <w:p>
      <w:pPr>
        <w:spacing w:line="540" w:lineRule="exact"/>
        <w:ind w:firstLine="720"/>
        <w:jc w:val="left"/>
        <w:rPr>
          <w:rFonts w:ascii="仿宋" w:hAnsi="仿宋" w:eastAsia="仿宋"/>
          <w:kern w:val="0"/>
          <w:sz w:val="32"/>
          <w:szCs w:val="32"/>
        </w:rPr>
      </w:pPr>
      <w:r>
        <w:rPr>
          <w:rFonts w:hint="eastAsia" w:ascii="仿宋" w:hAnsi="仿宋" w:eastAsia="仿宋"/>
          <w:b/>
          <w:bCs/>
          <w:kern w:val="0"/>
          <w:sz w:val="32"/>
          <w:szCs w:val="32"/>
        </w:rPr>
        <w:t>创新发展急难救助制度</w:t>
      </w:r>
      <w:r>
        <w:rPr>
          <w:rFonts w:hint="eastAsia" w:ascii="仿宋" w:hAnsi="仿宋" w:eastAsia="仿宋"/>
          <w:kern w:val="0"/>
          <w:sz w:val="32"/>
          <w:szCs w:val="32"/>
        </w:rPr>
        <w:t>。进一步加大急难型、支出型等临时救助力度，加强分类救助，对遭遇突发性、紧迫性、灾难性困难导致基本生活暂时陷入困境，靠自身和家庭无力解决，其他社会救助制度暂时无法覆盖或救助之后生活仍有困难的家庭或个人，通过临时救助给予应急性、过渡性生活保障。逐步取消申请限制，探索由急难发生地实施临时救助。做好重大疫情等突发公共事件下困难群众的临时救助工作。创新发展社会救助服务，加大政府购买服务力度，指导好开封市社会救助改革试点，形成一批可复制、可推广的政策措施和创新成果，为河南省社会救助综合改革提供经验。</w:t>
      </w:r>
    </w:p>
    <w:p>
      <w:pPr>
        <w:spacing w:line="540" w:lineRule="exact"/>
        <w:ind w:firstLine="720"/>
        <w:jc w:val="left"/>
        <w:rPr>
          <w:rFonts w:ascii="仿宋" w:hAnsi="仿宋" w:eastAsia="仿宋"/>
          <w:kern w:val="0"/>
          <w:sz w:val="32"/>
          <w:szCs w:val="32"/>
        </w:rPr>
      </w:pPr>
      <w:r>
        <w:rPr>
          <w:rFonts w:hint="eastAsia" w:ascii="仿宋" w:hAnsi="仿宋" w:eastAsia="仿宋" w:cs="宋体"/>
          <w:b/>
          <w:bCs/>
          <w:sz w:val="32"/>
          <w:szCs w:val="32"/>
        </w:rPr>
        <w:t>稳步提高社会保障水平</w:t>
      </w:r>
      <w:r>
        <w:rPr>
          <w:rFonts w:hint="eastAsia" w:ascii="仿宋" w:hAnsi="仿宋" w:eastAsia="仿宋" w:cs="宋体"/>
          <w:sz w:val="32"/>
          <w:szCs w:val="32"/>
        </w:rPr>
        <w:t>。根据开封市经济发展水平，提高最低生活保障标准、财政补助水平及特困人员救助供养标准。健全开封市社会救助对象定期核查机制，规范救助对象家庭人口、经济状况重大变化报告机制。拓展精准救助服务内容和形式，推进慈善组织、社会组织、爱心企业和志愿服务力量参与社会救助。引导社会资本参与社会救助，鼓励保险公司开发针对群众生活困难提供保障的险种。</w:t>
      </w:r>
      <w:r>
        <w:rPr>
          <w:rFonts w:hint="eastAsia" w:ascii="仿宋" w:hAnsi="仿宋" w:eastAsia="仿宋"/>
          <w:kern w:val="0"/>
          <w:sz w:val="32"/>
          <w:szCs w:val="32"/>
        </w:rPr>
        <w:t>完善社会救助和保障标准与物价上涨挂钩的联动机制，确保困难群众基本生活不因物价上涨受影响。强化社会救助资金监管，督促资金及时发放到位。</w:t>
      </w:r>
    </w:p>
    <w:p>
      <w:pPr>
        <w:spacing w:line="360" w:lineRule="auto"/>
        <w:ind w:firstLine="643" w:firstLineChars="200"/>
        <w:rPr>
          <w:rFonts w:ascii="仿宋" w:hAnsi="仿宋" w:eastAsia="仿宋"/>
          <w:sz w:val="32"/>
          <w:szCs w:val="32"/>
        </w:rPr>
      </w:pPr>
      <w:r>
        <w:rPr>
          <w:rFonts w:hint="eastAsia" w:ascii="仿宋" w:hAnsi="仿宋" w:eastAsia="仿宋" w:cs="宋体"/>
          <w:b/>
          <w:bCs/>
          <w:sz w:val="32"/>
          <w:szCs w:val="32"/>
        </w:rPr>
        <w:t>实施救助服务人才建设计划。</w:t>
      </w:r>
      <w:r>
        <w:rPr>
          <w:rFonts w:hint="eastAsia" w:ascii="仿宋" w:hAnsi="仿宋" w:eastAsia="仿宋" w:cs="宋体"/>
          <w:sz w:val="32"/>
          <w:szCs w:val="32"/>
        </w:rPr>
        <w:t>加大社会救助服务工作人员培训，提升救助能力，创新工作方法，以适应“互联网</w:t>
      </w:r>
      <w:r>
        <w:rPr>
          <w:rFonts w:ascii="仿宋" w:hAnsi="仿宋" w:eastAsia="仿宋"/>
          <w:sz w:val="32"/>
          <w:szCs w:val="32"/>
        </w:rPr>
        <w:t>+</w:t>
      </w:r>
      <w:r>
        <w:rPr>
          <w:rFonts w:hint="eastAsia" w:ascii="仿宋" w:hAnsi="仿宋" w:eastAsia="仿宋" w:cs="宋体"/>
          <w:sz w:val="32"/>
          <w:szCs w:val="32"/>
        </w:rPr>
        <w:t>”、大数据、</w:t>
      </w:r>
      <w:r>
        <w:rPr>
          <w:rFonts w:ascii="仿宋" w:hAnsi="仿宋" w:eastAsia="仿宋"/>
          <w:sz w:val="32"/>
          <w:szCs w:val="32"/>
        </w:rPr>
        <w:t>5G</w:t>
      </w:r>
      <w:r>
        <w:rPr>
          <w:rFonts w:hint="eastAsia" w:ascii="仿宋" w:hAnsi="仿宋" w:eastAsia="仿宋" w:cs="宋体"/>
          <w:sz w:val="32"/>
          <w:szCs w:val="32"/>
        </w:rPr>
        <w:t>时代的工作要求。鼓励具有较高学习能力和具有互联网背景的专业人才参与到社会救助事业。实施社会工作专业人才服务地区计划，培养高素质社会救助专业人才，推动社会救助服务专业化、精细化。</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深化社会救助制度改革。</w:t>
      </w:r>
      <w:r>
        <w:rPr>
          <w:rFonts w:hint="eastAsia" w:ascii="仿宋" w:hAnsi="仿宋" w:eastAsia="仿宋"/>
          <w:sz w:val="32"/>
          <w:szCs w:val="32"/>
        </w:rPr>
        <w:t>着力构建以基本生活救助为基础、专项社会救助为支撑、急难社会救助为辅助、社会力量参与为补充的分层分类救助体系，全面推进巩固拓展脱贫攻坚成果与乡村振兴有效衔接。深入推进“五社联动+社会救助”工作，加强社会救助志愿服务队伍建设，积极发展志愿服务组织，促进社会救助领域志愿服务发展。完善主动发现机制，健全社会救助“一门受理、协同办理”机制。加快社会救助信息化建设、服务管理转型升级。</w:t>
      </w:r>
    </w:p>
    <w:p>
      <w:pPr>
        <w:ind w:firstLine="643" w:firstLineChars="200"/>
        <w:rPr>
          <w:rFonts w:ascii="仿宋" w:hAnsi="仿宋" w:eastAsia="仿宋" w:cs="宋体"/>
          <w:sz w:val="32"/>
          <w:szCs w:val="32"/>
        </w:rPr>
      </w:pPr>
      <w:r>
        <w:rPr>
          <w:rFonts w:hint="eastAsia" w:ascii="仿宋" w:hAnsi="仿宋" w:eastAsia="仿宋" w:cs="宋体"/>
          <w:b/>
          <w:bCs/>
          <w:sz w:val="32"/>
          <w:szCs w:val="32"/>
        </w:rPr>
        <w:t>加强流浪乞讨人员救助管理。</w:t>
      </w:r>
      <w:r>
        <w:rPr>
          <w:rFonts w:hint="eastAsia" w:ascii="仿宋" w:hAnsi="仿宋" w:eastAsia="仿宋" w:cs="宋体"/>
          <w:sz w:val="32"/>
          <w:szCs w:val="32"/>
        </w:rPr>
        <w:t>进一步发挥救助管理工作联席会议制度作用，加强部门协同，完善救助管理工作体制机制。提升救助管理照料服务能力，强化站内照料职责，切实保障受助人员人身安全和基本生活；开展街面巡查和综合治理，健全流浪乞讨人员转介处置机制。积极为走失、务工无着、遭遇家庭暴力等离家在外临时遇困人员提供救助；推进源头治理工作，建立易流浪走失人员信息库，逐渐减少反复流浪乞讨人员数量。加强与公安等相关部门协同配合，强化“互联网+”寻亲服务，充分利用人像识别、DNA比对、大数据等智能手段寻亲，帮助走失人员及时回归家庭；推动符合条件的长期滞留人员落户安置并享受相关社会保障。</w:t>
      </w:r>
    </w:p>
    <w:tbl>
      <w:tblPr>
        <w:tblStyle w:val="26"/>
        <w:tblW w:w="8192" w:type="dxa"/>
        <w:jc w:val="center"/>
        <w:tblLayout w:type="fixed"/>
        <w:tblCellMar>
          <w:top w:w="0" w:type="dxa"/>
          <w:left w:w="0" w:type="dxa"/>
          <w:bottom w:w="0" w:type="dxa"/>
          <w:right w:w="0" w:type="dxa"/>
        </w:tblCellMar>
      </w:tblPr>
      <w:tblGrid>
        <w:gridCol w:w="8192"/>
      </w:tblGrid>
      <w:tr>
        <w:tblPrEx>
          <w:tblCellMar>
            <w:top w:w="0" w:type="dxa"/>
            <w:left w:w="0" w:type="dxa"/>
            <w:bottom w:w="0" w:type="dxa"/>
            <w:right w:w="0" w:type="dxa"/>
          </w:tblCellMar>
        </w:tblPrEx>
        <w:trPr>
          <w:trHeight w:val="640" w:hRule="atLeast"/>
          <w:jc w:val="center"/>
        </w:trPr>
        <w:tc>
          <w:tcPr>
            <w:tcW w:w="8192"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widowControl/>
              <w:wordWrap w:val="0"/>
              <w:spacing w:line="320" w:lineRule="atLeast"/>
              <w:jc w:val="center"/>
              <w:rPr>
                <w:rFonts w:ascii="黑体" w:hAnsi="黑体" w:eastAsia="黑体"/>
                <w:spacing w:val="8"/>
                <w:kern w:val="0"/>
                <w:sz w:val="24"/>
                <w:szCs w:val="24"/>
              </w:rPr>
            </w:pPr>
            <w:r>
              <w:rPr>
                <w:rFonts w:hint="eastAsia" w:ascii="黑体" w:hAnsi="黑体" w:eastAsia="黑体"/>
                <w:sz w:val="24"/>
                <w:szCs w:val="24"/>
              </w:rPr>
              <w:t>专栏5：社会救助质量提升行动</w:t>
            </w:r>
          </w:p>
        </w:tc>
      </w:tr>
      <w:tr>
        <w:tblPrEx>
          <w:tblCellMar>
            <w:top w:w="0" w:type="dxa"/>
            <w:left w:w="0" w:type="dxa"/>
            <w:bottom w:w="0" w:type="dxa"/>
            <w:right w:w="0" w:type="dxa"/>
          </w:tblCellMar>
        </w:tblPrEx>
        <w:trPr>
          <w:trHeight w:val="640" w:hRule="atLeast"/>
          <w:jc w:val="center"/>
        </w:trPr>
        <w:tc>
          <w:tcPr>
            <w:tcW w:w="8192"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widowControl/>
              <w:spacing w:line="360" w:lineRule="auto"/>
              <w:ind w:firstLine="480" w:firstLineChars="200"/>
              <w:rPr>
                <w:rFonts w:ascii="仿宋" w:hAnsi="仿宋" w:eastAsia="仿宋" w:cs="仿宋_GB2312"/>
                <w:spacing w:val="8"/>
                <w:kern w:val="0"/>
                <w:sz w:val="24"/>
                <w:szCs w:val="24"/>
              </w:rPr>
            </w:pPr>
            <w:r>
              <w:rPr>
                <w:rFonts w:hint="eastAsia" w:ascii="仿宋" w:hAnsi="仿宋" w:eastAsia="仿宋"/>
                <w:sz w:val="24"/>
                <w:szCs w:val="24"/>
              </w:rPr>
              <w:t>加强救助管理站建设</w:t>
            </w:r>
            <w:bookmarkStart w:id="33" w:name="_Hlk85397700"/>
            <w:r>
              <w:rPr>
                <w:rFonts w:hint="eastAsia" w:ascii="仿宋" w:hAnsi="仿宋" w:eastAsia="仿宋"/>
                <w:sz w:val="24"/>
                <w:szCs w:val="24"/>
              </w:rPr>
              <w:t>，至2</w:t>
            </w:r>
            <w:r>
              <w:rPr>
                <w:rFonts w:ascii="仿宋" w:hAnsi="仿宋" w:eastAsia="仿宋"/>
                <w:sz w:val="24"/>
                <w:szCs w:val="24"/>
              </w:rPr>
              <w:t>025</w:t>
            </w:r>
            <w:r>
              <w:rPr>
                <w:rFonts w:hint="eastAsia" w:ascii="仿宋" w:hAnsi="仿宋" w:eastAsia="仿宋"/>
                <w:sz w:val="24"/>
                <w:szCs w:val="24"/>
              </w:rPr>
              <w:t>年，推进开封市杞县、尉氏县、通许县、祥符区救助管理站设施改造提升工作，完善硬件设备，加强救助管理站信息化建设，提升救助能力，筑实基本民生兜底保障网。落实财政资金保障，将社会救助工作经费纳入各地财政预算，为基层救助工作人员提供必要的工作场所和工作条件。</w:t>
            </w:r>
            <w:bookmarkEnd w:id="33"/>
          </w:p>
        </w:tc>
      </w:tr>
    </w:tbl>
    <w:p>
      <w:pPr>
        <w:pStyle w:val="5"/>
        <w:spacing w:before="312" w:after="312"/>
        <w:rPr>
          <w:rFonts w:hint="default" w:ascii="楷体" w:hAnsi="楷体" w:eastAsia="楷体"/>
          <w:b/>
          <w:bCs w:val="0"/>
          <w:sz w:val="32"/>
          <w:szCs w:val="32"/>
        </w:rPr>
      </w:pPr>
      <w:bookmarkStart w:id="34" w:name="_Toc85117191"/>
      <w:bookmarkStart w:id="35" w:name="_Toc20135"/>
      <w:r>
        <w:rPr>
          <w:rFonts w:ascii="楷体" w:hAnsi="楷体" w:eastAsia="楷体"/>
          <w:b/>
          <w:bCs w:val="0"/>
          <w:sz w:val="32"/>
          <w:szCs w:val="32"/>
        </w:rPr>
        <w:t xml:space="preserve">第三节 </w:t>
      </w:r>
      <w:bookmarkEnd w:id="34"/>
      <w:r>
        <w:rPr>
          <w:rFonts w:ascii="楷体" w:hAnsi="楷体" w:eastAsia="楷体"/>
          <w:b/>
          <w:bCs w:val="0"/>
          <w:sz w:val="32"/>
          <w:szCs w:val="32"/>
        </w:rPr>
        <w:t>加强残疾人福利保障</w:t>
      </w:r>
      <w:bookmarkEnd w:id="35"/>
    </w:p>
    <w:p>
      <w:pPr>
        <w:ind w:firstLine="626"/>
        <w:rPr>
          <w:rFonts w:ascii="仿宋" w:hAnsi="仿宋" w:eastAsia="仿宋" w:cs="宋体"/>
          <w:sz w:val="32"/>
          <w:szCs w:val="32"/>
        </w:rPr>
      </w:pPr>
      <w:r>
        <w:rPr>
          <w:rFonts w:hint="eastAsia" w:ascii="仿宋_GB2312" w:hAnsi="仿宋_GB2312" w:eastAsia="仿宋_GB2312" w:cs="仿宋_GB2312"/>
          <w:b/>
          <w:bCs/>
          <w:sz w:val="32"/>
          <w:szCs w:val="32"/>
        </w:rPr>
        <w:t>落实残疾人“两项补贴”动态调整机制</w:t>
      </w:r>
      <w:r>
        <w:rPr>
          <w:rFonts w:hint="eastAsia" w:ascii="仿宋_GB2312" w:hAnsi="仿宋_GB2312" w:eastAsia="仿宋_GB2312" w:cs="仿宋_GB2312"/>
          <w:b/>
          <w:bCs/>
          <w:spacing w:val="-3"/>
          <w:sz w:val="32"/>
          <w:szCs w:val="32"/>
        </w:rPr>
        <w:t>。</w:t>
      </w:r>
      <w:r>
        <w:rPr>
          <w:rFonts w:hint="eastAsia" w:ascii="仿宋" w:hAnsi="仿宋" w:eastAsia="仿宋" w:cs="宋体"/>
          <w:sz w:val="32"/>
          <w:szCs w:val="32"/>
        </w:rPr>
        <w:t>统筹考虑全市城乡经济社会发展情况及残疾人实际需求，研究建立困难残疾人生活补贴和重度残疾人护理补贴标准动态调整机制。逐步推进困难残疾人生活补贴覆盖至低保边缘家庭和其他困难残疾人，重度残疾人护理补贴覆盖至三、四级的智力和精神残疾人。扎实推进残疾人“两项补贴”跨省通办，加强残疾人“两项补贴”制度与长期护理保险、老年人福利、社会救助等制度相衔接。积极运用数据比对、人脸识别、生存验证等智能技术，探索构建主动发现、精准发放、动态监管的智慧补贴管理服务机制，</w:t>
      </w:r>
      <w:r>
        <w:rPr>
          <w:rFonts w:hint="eastAsia" w:ascii="仿宋" w:hAnsi="仿宋" w:eastAsia="仿宋" w:cs="宋体"/>
          <w:sz w:val="32"/>
          <w:szCs w:val="32"/>
          <w:lang w:eastAsia="zh-Hans"/>
        </w:rPr>
        <w:t>提升残疾人“两项补贴”管理服务水平</w:t>
      </w:r>
      <w:r>
        <w:rPr>
          <w:rFonts w:hint="eastAsia" w:ascii="仿宋" w:hAnsi="仿宋" w:eastAsia="仿宋" w:cs="宋体"/>
          <w:sz w:val="32"/>
          <w:szCs w:val="32"/>
        </w:rPr>
        <w:t>。</w:t>
      </w:r>
    </w:p>
    <w:p>
      <w:pPr>
        <w:ind w:firstLine="626"/>
        <w:rPr>
          <w:sz w:val="32"/>
          <w:szCs w:val="32"/>
        </w:rPr>
      </w:pPr>
      <w:r>
        <w:rPr>
          <w:rFonts w:hint="eastAsia" w:ascii="仿宋_GB2312" w:hAnsi="仿宋_GB2312" w:eastAsia="仿宋_GB2312" w:cs="仿宋_GB2312"/>
          <w:b/>
          <w:bCs/>
          <w:sz w:val="32"/>
          <w:szCs w:val="32"/>
        </w:rPr>
        <w:t>完善农村重度残疾人照护服务体系。</w:t>
      </w:r>
      <w:r>
        <w:rPr>
          <w:rFonts w:hint="eastAsia" w:ascii="仿宋" w:hAnsi="仿宋" w:eastAsia="仿宋" w:cs="宋体"/>
          <w:sz w:val="32"/>
          <w:szCs w:val="32"/>
        </w:rPr>
        <w:t>统筹整合可用于残疾人照护服务的农村敬老院、幸福院、养老院、乡镇卫生院、托养机构等资源，加强农村重度残疾人照护服务设施建设，保障农村重度残疾人享受托养服务的权利，鼓励社会力量参与困难重度残疾人照护服务，加快补齐照护服务设施短板，力争到2025年基本实现农村</w:t>
      </w:r>
      <w:r>
        <w:rPr>
          <w:rFonts w:hint="eastAsia" w:ascii="仿宋" w:hAnsi="仿宋" w:eastAsia="仿宋" w:cs="仿宋"/>
          <w:sz w:val="32"/>
          <w:szCs w:val="32"/>
        </w:rPr>
        <w:t>重度残疾人集中</w:t>
      </w:r>
      <w:r>
        <w:rPr>
          <w:rFonts w:hint="eastAsia" w:ascii="仿宋" w:hAnsi="仿宋" w:eastAsia="仿宋" w:cs="宋体"/>
          <w:sz w:val="32"/>
          <w:szCs w:val="32"/>
        </w:rPr>
        <w:t>照护基本公共服务全覆盖</w:t>
      </w:r>
      <w:r>
        <w:rPr>
          <w:rFonts w:hint="eastAsia" w:ascii="仿宋_GB2312" w:hAnsi="仿宋_GB2312" w:eastAsia="仿宋_GB2312" w:cs="仿宋_GB2312"/>
          <w:sz w:val="32"/>
          <w:szCs w:val="32"/>
        </w:rPr>
        <w:t>。</w:t>
      </w:r>
    </w:p>
    <w:p>
      <w:pPr>
        <w:ind w:firstLine="626"/>
        <w:rPr>
          <w:rFonts w:ascii="仿宋" w:hAnsi="仿宋" w:eastAsia="仿宋" w:cs="宋体"/>
          <w:sz w:val="32"/>
          <w:szCs w:val="32"/>
        </w:rPr>
      </w:pPr>
      <w:r>
        <w:rPr>
          <w:rFonts w:hint="eastAsia" w:ascii="仿宋_GB2312" w:hAnsi="仿宋_GB2312" w:eastAsia="仿宋_GB2312" w:cs="仿宋_GB2312"/>
          <w:b/>
          <w:bCs/>
          <w:sz w:val="32"/>
          <w:szCs w:val="32"/>
        </w:rPr>
        <w:t>推进精神障碍社区康复服务。</w:t>
      </w:r>
      <w:r>
        <w:rPr>
          <w:rFonts w:hint="eastAsia" w:ascii="仿宋" w:hAnsi="仿宋" w:eastAsia="仿宋" w:cs="宋体"/>
          <w:sz w:val="32"/>
          <w:szCs w:val="32"/>
        </w:rPr>
        <w:t>探索将精神障碍社区康复服务工作纳入精神卫生服务体系，加强精神卫生医疗机构对社区康复机构的技术指导。构建以家庭为基础、机构为支撑，“社会化、综合性、开放式”的精神障碍社区康复服务体系。支持社会力量参与精神障碍社区康复机构建设，将居家康复、照护技能培训纳入精神障碍社区康复基本服务范围，促进家庭成为社区康复服务体系的重要力量和资源。</w:t>
      </w:r>
    </w:p>
    <w:p>
      <w:pPr>
        <w:ind w:firstLine="640"/>
        <w:rPr>
          <w:rFonts w:ascii="仿宋" w:hAnsi="仿宋" w:eastAsia="仿宋" w:cs="宋体"/>
          <w:sz w:val="32"/>
          <w:szCs w:val="32"/>
        </w:rPr>
      </w:pPr>
      <w:r>
        <w:rPr>
          <w:rFonts w:hint="eastAsia" w:ascii="仿宋_GB2312" w:hAnsi="仿宋_GB2312" w:eastAsia="仿宋_GB2312" w:cs="仿宋_GB2312"/>
          <w:b/>
          <w:bCs/>
          <w:sz w:val="32"/>
          <w:szCs w:val="32"/>
        </w:rPr>
        <w:t>加强民政精神卫生中心建设。</w:t>
      </w:r>
      <w:r>
        <w:rPr>
          <w:rFonts w:hint="eastAsia" w:ascii="仿宋" w:hAnsi="仿宋" w:eastAsia="仿宋" w:cs="宋体"/>
          <w:sz w:val="32"/>
          <w:szCs w:val="32"/>
        </w:rPr>
        <w:t>为精神障碍患者中的特困人员、流浪乞讨人员、低收入人群、复员退伍军人等特殊困难群体提供集中救治、救助、护理、康复和照料等服务。至2025年，建成一所开封市民政精神卫生中心，为经济困难精神障碍患者提供集中养护、康复服务。</w:t>
      </w:r>
    </w:p>
    <w:tbl>
      <w:tblPr>
        <w:tblStyle w:val="26"/>
        <w:tblpPr w:leftFromText="180" w:rightFromText="180" w:vertAnchor="text" w:horzAnchor="page" w:tblpX="1556" w:tblpY="103"/>
        <w:tblOverlap w:val="never"/>
        <w:tblW w:w="8909" w:type="dxa"/>
        <w:tblInd w:w="0" w:type="dxa"/>
        <w:tblLayout w:type="fixed"/>
        <w:tblCellMar>
          <w:top w:w="0" w:type="dxa"/>
          <w:left w:w="0" w:type="dxa"/>
          <w:bottom w:w="0" w:type="dxa"/>
          <w:right w:w="0" w:type="dxa"/>
        </w:tblCellMar>
      </w:tblPr>
      <w:tblGrid>
        <w:gridCol w:w="8909"/>
      </w:tblGrid>
      <w:tr>
        <w:tblPrEx>
          <w:tblCellMar>
            <w:top w:w="0" w:type="dxa"/>
            <w:left w:w="0" w:type="dxa"/>
            <w:bottom w:w="0" w:type="dxa"/>
            <w:right w:w="0" w:type="dxa"/>
          </w:tblCellMar>
        </w:tblPrEx>
        <w:trPr>
          <w:trHeight w:val="640" w:hRule="atLeast"/>
        </w:trPr>
        <w:tc>
          <w:tcPr>
            <w:tcW w:w="8909"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widowControl/>
              <w:wordWrap w:val="0"/>
              <w:spacing w:line="320" w:lineRule="atLeast"/>
              <w:jc w:val="center"/>
              <w:rPr>
                <w:rFonts w:ascii="黑体" w:hAnsi="黑体" w:eastAsia="黑体"/>
                <w:spacing w:val="8"/>
                <w:kern w:val="0"/>
                <w:sz w:val="24"/>
                <w:szCs w:val="24"/>
              </w:rPr>
            </w:pPr>
            <w:r>
              <w:rPr>
                <w:rFonts w:hint="eastAsia" w:ascii="黑体" w:hAnsi="黑体" w:eastAsia="黑体" w:cs="仿宋_GB2312"/>
                <w:spacing w:val="8"/>
                <w:kern w:val="0"/>
                <w:sz w:val="24"/>
                <w:szCs w:val="24"/>
              </w:rPr>
              <w:t>专栏6：加强民政精神卫生中心建设</w:t>
            </w:r>
          </w:p>
        </w:tc>
      </w:tr>
      <w:tr>
        <w:tblPrEx>
          <w:tblCellMar>
            <w:top w:w="0" w:type="dxa"/>
            <w:left w:w="0" w:type="dxa"/>
            <w:bottom w:w="0" w:type="dxa"/>
            <w:right w:w="0" w:type="dxa"/>
          </w:tblCellMar>
        </w:tblPrEx>
        <w:trPr>
          <w:trHeight w:val="397" w:hRule="atLeast"/>
        </w:trPr>
        <w:tc>
          <w:tcPr>
            <w:tcW w:w="8909"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widowControl/>
              <w:wordWrap w:val="0"/>
              <w:spacing w:line="360" w:lineRule="auto"/>
              <w:ind w:firstLine="499"/>
              <w:rPr>
                <w:rFonts w:ascii="仿宋_GB2312" w:hAnsi="仿宋_GB2312" w:eastAsia="仿宋_GB2312" w:cs="仿宋_GB2312"/>
                <w:spacing w:val="8"/>
                <w:kern w:val="0"/>
                <w:sz w:val="24"/>
                <w:szCs w:val="24"/>
              </w:rPr>
            </w:pPr>
            <w:r>
              <w:rPr>
                <w:rFonts w:hint="eastAsia" w:ascii="仿宋_GB2312" w:hAnsi="仿宋_GB2312" w:eastAsia="仿宋_GB2312" w:cs="仿宋_GB2312"/>
                <w:b/>
                <w:bCs/>
                <w:spacing w:val="8"/>
                <w:kern w:val="0"/>
                <w:sz w:val="24"/>
                <w:szCs w:val="24"/>
              </w:rPr>
              <w:t>1.加强民政精神卫生中心建设。</w:t>
            </w:r>
            <w:r>
              <w:rPr>
                <w:rFonts w:hint="eastAsia" w:ascii="仿宋_GB2312" w:hAnsi="仿宋_GB2312" w:eastAsia="仿宋_GB2312" w:cs="仿宋_GB2312"/>
                <w:spacing w:val="8"/>
                <w:kern w:val="0"/>
                <w:sz w:val="24"/>
                <w:szCs w:val="24"/>
              </w:rPr>
              <w:t>积极引导和鼓励社会力量参与精神卫生福利设施建设和运营。到2025年，力争建成民政精神卫生中心，并投入运营。</w:t>
            </w:r>
          </w:p>
          <w:p>
            <w:pPr>
              <w:widowControl/>
              <w:wordWrap w:val="0"/>
              <w:spacing w:line="360" w:lineRule="auto"/>
              <w:ind w:firstLine="499"/>
              <w:rPr>
                <w:spacing w:val="8"/>
                <w:kern w:val="0"/>
                <w:sz w:val="24"/>
                <w:szCs w:val="24"/>
              </w:rPr>
            </w:pPr>
            <w:r>
              <w:rPr>
                <w:rFonts w:hint="eastAsia" w:ascii="仿宋_GB2312" w:hAnsi="仿宋_GB2312" w:eastAsia="仿宋_GB2312" w:cs="仿宋_GB2312"/>
                <w:b/>
                <w:bCs/>
                <w:spacing w:val="8"/>
                <w:kern w:val="0"/>
                <w:sz w:val="24"/>
                <w:szCs w:val="24"/>
              </w:rPr>
              <w:t>2.开展精神障碍社区康复服务。</w:t>
            </w:r>
            <w:r>
              <w:rPr>
                <w:rFonts w:hint="eastAsia" w:ascii="仿宋_GB2312" w:hAnsi="仿宋_GB2312" w:eastAsia="仿宋_GB2312" w:cs="仿宋_GB2312"/>
                <w:spacing w:val="8"/>
                <w:kern w:val="0"/>
                <w:sz w:val="24"/>
                <w:szCs w:val="24"/>
              </w:rPr>
              <w:t>推动精神障碍社区康复服务规范化、标准化、专业化，探索政府购买精神障碍社区康复服务。</w:t>
            </w:r>
          </w:p>
        </w:tc>
      </w:tr>
    </w:tbl>
    <w:p>
      <w:pPr>
        <w:pStyle w:val="4"/>
        <w:spacing w:before="624" w:after="624"/>
        <w:ind w:left="0"/>
        <w:rPr>
          <w:rFonts w:ascii="黑体" w:hAnsi="黑体" w:eastAsia="黑体" w:cs="黑体"/>
          <w:sz w:val="32"/>
          <w:szCs w:val="32"/>
        </w:rPr>
      </w:pPr>
      <w:bookmarkStart w:id="36" w:name="_Toc19489"/>
      <w:bookmarkStart w:id="37" w:name="_Toc20903"/>
      <w:r>
        <w:rPr>
          <w:rFonts w:hint="eastAsia" w:ascii="黑体" w:hAnsi="黑体" w:eastAsia="黑体" w:cs="黑体"/>
          <w:sz w:val="32"/>
          <w:szCs w:val="32"/>
        </w:rPr>
        <w:t>第五章 创新基层社会共建共治共享治理模式</w:t>
      </w:r>
      <w:bookmarkEnd w:id="36"/>
    </w:p>
    <w:p>
      <w:pPr>
        <w:spacing w:line="360" w:lineRule="auto"/>
        <w:ind w:firstLine="640" w:firstLineChars="200"/>
        <w:rPr>
          <w:rFonts w:ascii="仿宋" w:hAnsi="仿宋" w:eastAsia="仿宋"/>
          <w:sz w:val="32"/>
          <w:szCs w:val="32"/>
        </w:rPr>
      </w:pPr>
      <w:r>
        <w:rPr>
          <w:rFonts w:hint="eastAsia" w:ascii="仿宋" w:hAnsi="仿宋" w:eastAsia="仿宋"/>
          <w:sz w:val="32"/>
          <w:szCs w:val="32"/>
        </w:rPr>
        <w:t>积极贯彻《中共中央国务院关于加强基层治理体系和治理能力现代化建设的意见》精神，坚持以人民为中心的宗旨，坚持改革创新，加强基层社会治理，加大工作创新力度，激发社会治理活力，推动各项工作落到实处。坚持党建引领，健全完善“党建+五社联动”协同机制，提升基层社会治理水平，</w:t>
      </w:r>
      <w:r>
        <w:rPr>
          <w:rFonts w:hint="eastAsia" w:ascii="仿宋" w:hAnsi="仿宋" w:eastAsia="仿宋" w:cs="仿宋_GB2312"/>
          <w:spacing w:val="8"/>
          <w:kern w:val="0"/>
          <w:sz w:val="32"/>
          <w:szCs w:val="32"/>
        </w:rPr>
        <w:t>努力夯实基层基础，让社区生活更幸福。</w:t>
      </w:r>
      <w:r>
        <w:rPr>
          <w:rFonts w:hint="eastAsia" w:ascii="仿宋" w:hAnsi="仿宋" w:eastAsia="仿宋"/>
          <w:sz w:val="32"/>
          <w:szCs w:val="32"/>
        </w:rPr>
        <w:t>深化社会治理工程体系建设，以改革创新和制度建设、能力建设为抓手，建立健全基层治理体制机制，推动政府治理同社会调节、居民自治良性互动，提高基层治理社会化、法治化、智能化、专业化水平，力争在全国树立开封社区治理和服务标杆。</w:t>
      </w:r>
    </w:p>
    <w:p>
      <w:pPr>
        <w:pStyle w:val="5"/>
        <w:spacing w:before="312" w:after="312"/>
        <w:rPr>
          <w:rFonts w:hint="default" w:ascii="楷体" w:hAnsi="楷体" w:eastAsia="楷体"/>
          <w:b/>
          <w:bCs w:val="0"/>
          <w:sz w:val="32"/>
          <w:szCs w:val="32"/>
        </w:rPr>
      </w:pPr>
      <w:bookmarkStart w:id="38" w:name="_Toc13091"/>
      <w:r>
        <w:rPr>
          <w:rFonts w:ascii="楷体" w:hAnsi="楷体" w:eastAsia="楷体"/>
          <w:b/>
          <w:bCs w:val="0"/>
          <w:sz w:val="32"/>
          <w:szCs w:val="32"/>
        </w:rPr>
        <w:t>第一节 筑牢基层社会治理根基</w:t>
      </w:r>
      <w:bookmarkEnd w:id="38"/>
    </w:p>
    <w:p>
      <w:pPr>
        <w:ind w:firstLine="643" w:firstLineChars="200"/>
        <w:rPr>
          <w:rFonts w:ascii="仿宋" w:hAnsi="仿宋" w:eastAsia="仿宋"/>
          <w:sz w:val="32"/>
          <w:szCs w:val="32"/>
        </w:rPr>
      </w:pPr>
      <w:r>
        <w:rPr>
          <w:rFonts w:hint="eastAsia" w:ascii="仿宋" w:hAnsi="仿宋" w:eastAsia="仿宋"/>
          <w:b/>
          <w:bCs/>
          <w:sz w:val="32"/>
          <w:szCs w:val="32"/>
        </w:rPr>
        <w:t>完善基层群众自治机制。</w:t>
      </w:r>
      <w:r>
        <w:rPr>
          <w:rFonts w:hint="eastAsia" w:ascii="仿宋" w:hAnsi="仿宋" w:eastAsia="仿宋"/>
          <w:sz w:val="32"/>
          <w:szCs w:val="32"/>
        </w:rPr>
        <w:t>健全党组织领导下的政治、自治、法治、德治、智治相结合的基层治理体系。发挥基层群众性自治组织作用，积极稳妥推行村（社区）党组织书记、村（居）民委员会主任“一肩挑”，稳步提高村（社区）“两委”成员交叉任职。加强基层群众性自治组织规范化建设，建立城乡基层群众自治领域扫黑除恶常态化工作机制。逐步提高村民委员会成员中女性比例，加强村（居）务监督委员会建设，推进村（居）务公开。充分发挥村规民约（居民公约）在城乡社区治理的作用，引导村规民约向法治有序、德治有效、自治有力方向发展，努力打造新时代共建共治共享的城乡社区治理新格局。</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推进社区治理和服务创新。</w:t>
      </w:r>
      <w:r>
        <w:rPr>
          <w:rFonts w:hint="eastAsia" w:ascii="仿宋" w:hAnsi="仿宋" w:eastAsia="仿宋"/>
          <w:sz w:val="32"/>
          <w:szCs w:val="32"/>
        </w:rPr>
        <w:t>有效发挥基层政府主导作用，加强对城乡社区治理的政策支持，加强对基层群众性自治组织建设的指导，不断提高依法指导城乡社区治理的能力和水平。开展全国村级议事协商创新实验和智慧社区试点，以点带面深入推进基层治理创新。进一步健全城乡社区协商工作机制，探索创新楼院协商治理模式，鼓励多元主体参与社区治理。以为民服务为出发点和落脚点，抓牢重点、纾解难点、打造亮点，大胆创新、持续发力，推动社区治理和服务创新试验区工作迈出更大步伐、取得更大成效。</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深化乡镇（街道）服务能力建设和管理创新。</w:t>
      </w:r>
      <w:r>
        <w:rPr>
          <w:rFonts w:hint="eastAsia" w:ascii="仿宋" w:hAnsi="仿宋" w:eastAsia="仿宋"/>
          <w:sz w:val="32"/>
          <w:szCs w:val="32"/>
        </w:rPr>
        <w:t>以城乡一体化示范区为切入点，扎实开展街道服务管理创新实验工作。强化乡镇（街道）对辖区内公共服务的监督管理，推广“街乡吹哨、部门报到、接诉即办”等基层管理经验，建立乡镇（街道）与县（区）有关职能部门之间高效协调机制。深化乡镇（街道）服务管理体制改革，提高“放管服”承接能力，实行“一站式”服务和“一窗式”办理，推动乡镇（街道）一站式服务中心或便民服务一体化在线政务服务平台实现全覆盖，乡镇政府服务能力建设水平和街道服务管理创新能力显著提升。</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推进社区民主协商。</w:t>
      </w:r>
      <w:r>
        <w:rPr>
          <w:rFonts w:hint="eastAsia" w:ascii="仿宋" w:hAnsi="仿宋" w:eastAsia="仿宋"/>
          <w:sz w:val="32"/>
          <w:szCs w:val="32"/>
        </w:rPr>
        <w:t>强化规则意识,倡导契约精神，鼓励居民村民围绕社区公共资源分配、公共空间管理、公共秩序维护等,开展民主协商,引导居民村民自觉履行法定义务、社会责任、家庭责任。完善基层民主协商制度，探索制定城乡社区民主协商开封标准，充分发挥自治章程、村规民约、社区公约在城乡社区治理中的积极作用。</w:t>
      </w:r>
    </w:p>
    <w:p>
      <w:pPr>
        <w:pStyle w:val="5"/>
        <w:spacing w:before="312" w:after="312"/>
        <w:rPr>
          <w:rFonts w:hint="default" w:ascii="楷体" w:hAnsi="楷体" w:eastAsia="楷体"/>
          <w:b/>
          <w:bCs w:val="0"/>
          <w:sz w:val="32"/>
          <w:szCs w:val="32"/>
        </w:rPr>
      </w:pPr>
      <w:bookmarkStart w:id="39" w:name="_Toc18174"/>
      <w:r>
        <w:rPr>
          <w:rFonts w:ascii="楷体" w:hAnsi="楷体" w:eastAsia="楷体"/>
          <w:b/>
          <w:bCs w:val="0"/>
          <w:sz w:val="32"/>
          <w:szCs w:val="32"/>
        </w:rPr>
        <w:t>第二节 提升城乡社区服务能力</w:t>
      </w:r>
      <w:bookmarkEnd w:id="39"/>
    </w:p>
    <w:p>
      <w:pPr>
        <w:widowControl/>
        <w:spacing w:line="360" w:lineRule="auto"/>
        <w:ind w:firstLine="640"/>
        <w:rPr>
          <w:rFonts w:ascii="仿宋" w:hAnsi="仿宋" w:eastAsia="仿宋"/>
          <w:sz w:val="32"/>
          <w:szCs w:val="32"/>
        </w:rPr>
      </w:pPr>
      <w:r>
        <w:rPr>
          <w:rFonts w:hint="eastAsia" w:ascii="仿宋" w:hAnsi="仿宋" w:eastAsia="仿宋"/>
          <w:b/>
          <w:bCs/>
          <w:sz w:val="32"/>
          <w:szCs w:val="32"/>
        </w:rPr>
        <w:t>健全党建引领社区服务格局。</w:t>
      </w:r>
      <w:r>
        <w:rPr>
          <w:rFonts w:hint="eastAsia" w:ascii="仿宋" w:hAnsi="仿宋" w:eastAsia="仿宋"/>
          <w:sz w:val="32"/>
          <w:szCs w:val="32"/>
        </w:rPr>
        <w:t>全面落实村（社区）党组织领导、基层群众性自治组织主导的城乡社区协商制度，围绕群众关心的服务事项广泛开展议事协商。提升“四议两公开”工作法、“一征三议两公开（确认一下）”工作法规范运用水平，探索建立乡镇（街道）协商与城乡社区协商的联动机制，继续指导有关县（区）做好村级议事协商实验试点工作。全面加强党建引领城乡社区服务能力建设，扎实做好服务群众、教育群众、凝聚人心工作，组织引领群众听党话、跟党走。全面推动在职党员到社区报到为群众服务制度机制，推动党政机关、企事业单位到村（社区）开展服务。</w:t>
      </w:r>
    </w:p>
    <w:p>
      <w:pPr>
        <w:widowControl/>
        <w:spacing w:line="360" w:lineRule="auto"/>
        <w:ind w:firstLine="630" w:firstLineChars="196"/>
        <w:rPr>
          <w:rFonts w:ascii="仿宋" w:hAnsi="仿宋" w:eastAsia="仿宋"/>
          <w:sz w:val="32"/>
          <w:szCs w:val="32"/>
        </w:rPr>
      </w:pPr>
      <w:r>
        <w:rPr>
          <w:rFonts w:hint="eastAsia" w:ascii="仿宋" w:hAnsi="仿宋" w:eastAsia="仿宋"/>
          <w:b/>
          <w:bCs/>
          <w:sz w:val="32"/>
          <w:szCs w:val="32"/>
        </w:rPr>
        <w:t>创新“党建+五社联动”社区治理机制。</w:t>
      </w:r>
      <w:r>
        <w:rPr>
          <w:rFonts w:hint="eastAsia" w:ascii="仿宋" w:hAnsi="仿宋" w:eastAsia="仿宋"/>
          <w:sz w:val="32"/>
          <w:szCs w:val="32"/>
        </w:rPr>
        <w:t>动员社区党组织和广大党员干部，尤其是社区“两委”班子发挥牵头作用，发动党员、楼组长、居民群众等社区力量，实现多方资源有效整合和精准对接。以努力满足居民群众服务需求为出发点，建立完善以社区为平台、社区社会组织为支撑、社会工作专业人才队伍为保障、社区志愿者为补充、社区公益慈善资源为支持的社区联动服务机制，切实把党的政治优势、组织优势和群众工作优势转化为基层治理工作优势，“五社联动”协同推动社区建设和社区治理进步。全面推行政府购买社区</w:t>
      </w:r>
      <w:r>
        <w:rPr>
          <w:rFonts w:ascii="仿宋" w:hAnsi="仿宋" w:eastAsia="仿宋"/>
          <w:sz w:val="32"/>
          <w:szCs w:val="32"/>
        </w:rPr>
        <w:t>服务</w:t>
      </w:r>
      <w:r>
        <w:rPr>
          <w:rFonts w:hint="eastAsia" w:ascii="仿宋" w:hAnsi="仿宋" w:eastAsia="仿宋"/>
          <w:sz w:val="32"/>
          <w:szCs w:val="32"/>
        </w:rPr>
        <w:t>机制建设</w:t>
      </w:r>
      <w:r>
        <w:rPr>
          <w:rFonts w:ascii="仿宋" w:hAnsi="仿宋" w:eastAsia="仿宋"/>
          <w:sz w:val="32"/>
          <w:szCs w:val="32"/>
        </w:rPr>
        <w:t>，建立政府购买社区服务清单，培育扶持一批具有较强专业性和信誉度的社区服务机构，支持社会组织、社会工作专业人才、志愿服务组织提供专业化、特色化、个性化</w:t>
      </w:r>
      <w:r>
        <w:rPr>
          <w:rFonts w:hint="eastAsia" w:ascii="仿宋" w:hAnsi="仿宋" w:eastAsia="仿宋"/>
          <w:sz w:val="32"/>
          <w:szCs w:val="32"/>
        </w:rPr>
        <w:t>城乡社区</w:t>
      </w:r>
      <w:r>
        <w:rPr>
          <w:rFonts w:ascii="仿宋" w:hAnsi="仿宋" w:eastAsia="仿宋"/>
          <w:sz w:val="32"/>
          <w:szCs w:val="32"/>
        </w:rPr>
        <w:t>服务</w:t>
      </w:r>
      <w:r>
        <w:rPr>
          <w:rFonts w:hint="eastAsia" w:ascii="仿宋" w:hAnsi="仿宋" w:eastAsia="仿宋"/>
          <w:sz w:val="32"/>
          <w:szCs w:val="32"/>
        </w:rPr>
        <w:t>。鼓励基层群众性自治组织、社会组织承接政府购买服务事项。组织实施培育发展社区社会组织专项行动，培育引导服务型、公益性、互助性社区社会组织广泛参与社区服务。深入挖掘村（社区）内部资源，广泛吸纳群众自组织带头人、社区能人、社工专业人才参与社区服务。加强社区各类志愿服务队伍建设，建立社区志愿者协会，健全志愿服务体系，实现社区志愿服务常态化、制度化。</w:t>
      </w:r>
    </w:p>
    <w:p>
      <w:pPr>
        <w:spacing w:line="360" w:lineRule="auto"/>
        <w:ind w:firstLine="630" w:firstLineChars="196"/>
        <w:jc w:val="left"/>
        <w:rPr>
          <w:rFonts w:ascii="仿宋" w:hAnsi="仿宋" w:eastAsia="仿宋"/>
          <w:sz w:val="32"/>
          <w:szCs w:val="32"/>
        </w:rPr>
      </w:pPr>
      <w:r>
        <w:rPr>
          <w:rFonts w:hint="eastAsia" w:ascii="仿宋" w:hAnsi="仿宋" w:eastAsia="仿宋"/>
          <w:b/>
          <w:bCs/>
          <w:sz w:val="32"/>
          <w:szCs w:val="32"/>
        </w:rPr>
        <w:t>持续强化城乡社区自治机制建设。</w:t>
      </w:r>
      <w:r>
        <w:rPr>
          <w:rFonts w:hint="eastAsia" w:ascii="仿宋" w:hAnsi="仿宋" w:eastAsia="仿宋"/>
          <w:sz w:val="32"/>
          <w:szCs w:val="32"/>
        </w:rPr>
        <w:t>健全村（社区）“两委”班子成员联系群众机制，经常性开展入户走访，深入了解群众需求和呼声，及时发现解决问题。加强基层群众性自治组织</w:t>
      </w:r>
      <w:r>
        <w:rPr>
          <w:rFonts w:ascii="仿宋" w:hAnsi="仿宋" w:eastAsia="仿宋"/>
          <w:sz w:val="32"/>
          <w:szCs w:val="32"/>
        </w:rPr>
        <w:t>及下设委员会规范化建设</w:t>
      </w:r>
      <w:r>
        <w:rPr>
          <w:rFonts w:hint="eastAsia" w:ascii="仿宋" w:hAnsi="仿宋" w:eastAsia="仿宋"/>
          <w:sz w:val="32"/>
          <w:szCs w:val="32"/>
        </w:rPr>
        <w:t>，发挥村（居）民委员会下设的人民调解、治安保卫、公共卫生等委员会作用，</w:t>
      </w:r>
      <w:r>
        <w:rPr>
          <w:rFonts w:ascii="仿宋" w:hAnsi="仿宋" w:eastAsia="仿宋"/>
          <w:sz w:val="32"/>
          <w:szCs w:val="32"/>
        </w:rPr>
        <w:t>推动村民委员会设立妇女和儿童工作等委员会</w:t>
      </w:r>
      <w:r>
        <w:rPr>
          <w:rFonts w:hint="eastAsia" w:ascii="仿宋" w:hAnsi="仿宋" w:eastAsia="仿宋"/>
          <w:sz w:val="32"/>
          <w:szCs w:val="32"/>
        </w:rPr>
        <w:t>，社区</w:t>
      </w:r>
      <w:r>
        <w:rPr>
          <w:rFonts w:ascii="仿宋" w:hAnsi="仿宋" w:eastAsia="仿宋"/>
          <w:sz w:val="32"/>
          <w:szCs w:val="32"/>
        </w:rPr>
        <w:t>居民委员会根据需要设立</w:t>
      </w:r>
      <w:r>
        <w:rPr>
          <w:rFonts w:hint="eastAsia" w:ascii="仿宋" w:hAnsi="仿宋" w:eastAsia="仿宋"/>
          <w:sz w:val="32"/>
          <w:szCs w:val="32"/>
        </w:rPr>
        <w:t>环境</w:t>
      </w:r>
      <w:r>
        <w:rPr>
          <w:rFonts w:ascii="仿宋" w:hAnsi="仿宋" w:eastAsia="仿宋"/>
          <w:sz w:val="32"/>
          <w:szCs w:val="32"/>
        </w:rPr>
        <w:t>和物业管理委员会</w:t>
      </w:r>
      <w:r>
        <w:rPr>
          <w:rFonts w:hint="eastAsia" w:ascii="仿宋" w:hAnsi="仿宋" w:eastAsia="仿宋"/>
          <w:sz w:val="32"/>
          <w:szCs w:val="32"/>
        </w:rPr>
        <w:t>。完善“两委”联席会议制度，健全</w:t>
      </w:r>
      <w:r>
        <w:rPr>
          <w:rFonts w:ascii="仿宋" w:hAnsi="仿宋" w:eastAsia="仿宋"/>
          <w:sz w:val="32"/>
          <w:szCs w:val="32"/>
        </w:rPr>
        <w:t>居（村）</w:t>
      </w:r>
      <w:r>
        <w:rPr>
          <w:rFonts w:hint="eastAsia" w:ascii="仿宋" w:hAnsi="仿宋" w:eastAsia="仿宋"/>
          <w:sz w:val="32"/>
          <w:szCs w:val="32"/>
        </w:rPr>
        <w:t>民会议、</w:t>
      </w:r>
      <w:r>
        <w:rPr>
          <w:rFonts w:ascii="仿宋" w:hAnsi="仿宋" w:eastAsia="仿宋"/>
          <w:sz w:val="32"/>
          <w:szCs w:val="32"/>
        </w:rPr>
        <w:t>居（村）</w:t>
      </w:r>
      <w:r>
        <w:rPr>
          <w:rFonts w:hint="eastAsia" w:ascii="仿宋" w:hAnsi="仿宋" w:eastAsia="仿宋"/>
          <w:sz w:val="32"/>
          <w:szCs w:val="32"/>
        </w:rPr>
        <w:t>民代表会议制度，组织居民参与社区服务项目的协商、决策、实施和监督，围绕居民日常生活事项，健全完善议事协商制度，丰富议事协商内容。推动各县区结合实际开展村规民约和居民公约修订完善工作，加快制定价值引领、合法合规、群众认可、管用有效的村规民约或居民公约。组织优秀村规民约、居民公约评选、宣传活动。</w:t>
      </w:r>
    </w:p>
    <w:p>
      <w:pPr>
        <w:spacing w:line="360" w:lineRule="auto"/>
        <w:ind w:left="1" w:firstLine="630" w:firstLineChars="196"/>
        <w:rPr>
          <w:rFonts w:ascii="仿宋" w:hAnsi="仿宋" w:eastAsia="仿宋"/>
          <w:sz w:val="32"/>
          <w:szCs w:val="32"/>
        </w:rPr>
      </w:pPr>
      <w:r>
        <w:rPr>
          <w:rFonts w:hint="eastAsia" w:ascii="仿宋" w:hAnsi="仿宋" w:eastAsia="仿宋"/>
          <w:b/>
          <w:bCs/>
          <w:sz w:val="32"/>
          <w:szCs w:val="32"/>
        </w:rPr>
        <w:t>加强社区综合服务设施建设。</w:t>
      </w:r>
      <w:r>
        <w:rPr>
          <w:rFonts w:hint="eastAsia" w:ascii="仿宋" w:hAnsi="仿宋" w:eastAsia="仿宋"/>
          <w:sz w:val="32"/>
          <w:szCs w:val="32"/>
        </w:rPr>
        <w:t>将社区综合服务设施建设纳入国土空间规划，优化以党群服务中心为基本阵地的城乡社区综合服务设施布局。</w:t>
      </w:r>
      <w:r>
        <w:rPr>
          <w:rFonts w:ascii="仿宋" w:hAnsi="仿宋" w:eastAsia="仿宋"/>
          <w:sz w:val="32"/>
          <w:szCs w:val="32"/>
        </w:rPr>
        <w:t>全面</w:t>
      </w:r>
      <w:r>
        <w:rPr>
          <w:rFonts w:hint="eastAsia" w:ascii="仿宋" w:hAnsi="仿宋" w:eastAsia="仿宋"/>
          <w:sz w:val="32"/>
          <w:szCs w:val="32"/>
        </w:rPr>
        <w:t>推进“一有八中心”规范化社区建设，显著提升城乡社区综合服务设施硬件基础</w:t>
      </w:r>
      <w:r>
        <w:rPr>
          <w:rFonts w:ascii="仿宋" w:hAnsi="仿宋" w:eastAsia="仿宋"/>
          <w:sz w:val="32"/>
          <w:szCs w:val="32"/>
        </w:rPr>
        <w:t>。</w:t>
      </w:r>
      <w:r>
        <w:rPr>
          <w:rFonts w:hint="eastAsia" w:ascii="仿宋" w:hAnsi="仿宋" w:eastAsia="仿宋"/>
          <w:sz w:val="32"/>
          <w:szCs w:val="32"/>
        </w:rPr>
        <w:t>按照每百户居民拥有综合服务设施不低于30平方米的标准，明确村（社区）办公、服务、活动、应急等功能面积及建设要求。鼓励通过换购、划拨、租借等方式，统筹利用社区各类存量房屋资源增设服务设施。结合城镇老旧小区改造、城市更新工程，健全完善居住小区服务点，推进社区服务向居住小区延伸。实施村级综合服务设施提升工程，完善村级综合服务设施网络，推进村级综合服务设施标准化建设，分级确定农村综合服务设施规模和功能面积比例。</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加强社区服务信息化建设。</w:t>
      </w:r>
      <w:r>
        <w:rPr>
          <w:rFonts w:hint="eastAsia" w:ascii="仿宋" w:hAnsi="仿宋" w:eastAsia="仿宋"/>
          <w:sz w:val="32"/>
          <w:szCs w:val="32"/>
        </w:rPr>
        <w:t>加快智慧社区建设，提升“汴捷办”知晓度、使用度，推动“互联网+政务服务”向乡镇（街道）、村（社区）延伸覆盖。实施“互联网+基层治理”行动，完善乡镇（街道）、村（社区）地理信息等基础数据，根据服务群众需要向（社区）开放数据资源，发挥村（社区）信息为民服务实效。扩大政务服务事项网上受理、办理数量和种类。充分考虑老年人、残疾人习惯和特点，推行适老化和无障碍信息服务。深入组织开展智慧社区试点建设，高效匹配社区全生活链供需，扩大多层次便利化社会服务。鼓励社会资本投资建设智慧社区，运用5G、物联网等现代信息技术推进智慧社区信息基础设施建设。</w:t>
      </w:r>
    </w:p>
    <w:p>
      <w:pPr>
        <w:spacing w:line="360" w:lineRule="auto"/>
        <w:ind w:firstLine="645"/>
        <w:rPr>
          <w:rFonts w:ascii="仿宋" w:hAnsi="仿宋" w:eastAsia="仿宋"/>
          <w:sz w:val="32"/>
          <w:szCs w:val="32"/>
        </w:rPr>
      </w:pPr>
      <w:r>
        <w:rPr>
          <w:rFonts w:hint="eastAsia" w:ascii="仿宋" w:hAnsi="仿宋" w:eastAsia="仿宋"/>
          <w:b/>
          <w:bCs/>
          <w:sz w:val="32"/>
          <w:szCs w:val="32"/>
        </w:rPr>
        <w:t>城乡社区服务人才队伍建设。</w:t>
      </w:r>
      <w:r>
        <w:rPr>
          <w:rFonts w:hint="eastAsia" w:ascii="仿宋" w:hAnsi="仿宋" w:eastAsia="仿宋"/>
          <w:sz w:val="32"/>
          <w:szCs w:val="32"/>
        </w:rPr>
        <w:t>优化社区工作者队伍，规范村（居）民委员会换届选举，全面落实村（社区）“两委”班子成员资格联审机制。建立健全村（社区）党组织书记后备人才库，依法选优配强村（社区）“两委”班子成员。通过选派、聘用、招考等方式，选拔优秀人才充实社区工作者队伍。组织实施社区人才队伍建设行动计划，综合考虑服务居民数量等因素，合理确定社区工作者配备标准，到2025年末，实现每万名城镇常住人口拥有社区工作者18人。加强网格员队伍规范化建设，探索将专职网格员纳入社区工作者管理。加快培育发展社区社会工作人才、社区志愿者，鼓励社会工作专业人才、社区志愿者等参与社区服务。</w:t>
      </w:r>
      <w:r>
        <w:rPr>
          <w:rFonts w:hint="eastAsia" w:ascii="仿宋" w:hAnsi="仿宋" w:eastAsia="仿宋"/>
          <w:sz w:val="32"/>
          <w:szCs w:val="32"/>
          <w:lang w:eastAsia="zh-CN"/>
        </w:rPr>
        <w:t>落实</w:t>
      </w:r>
      <w:r>
        <w:rPr>
          <w:rFonts w:hint="eastAsia" w:ascii="仿宋" w:hAnsi="仿宋" w:eastAsia="仿宋"/>
          <w:sz w:val="32"/>
          <w:szCs w:val="32"/>
        </w:rPr>
        <w:t>社区工作者管理办法，健全职业准入、岗位等级、管理考核、保障激励、退出机制等制度。</w:t>
      </w:r>
    </w:p>
    <w:p>
      <w:pPr>
        <w:pStyle w:val="2"/>
      </w:pPr>
    </w:p>
    <w:tbl>
      <w:tblPr>
        <w:tblStyle w:val="26"/>
        <w:tblW w:w="8192" w:type="dxa"/>
        <w:jc w:val="center"/>
        <w:tblLayout w:type="fixed"/>
        <w:tblCellMar>
          <w:top w:w="0" w:type="dxa"/>
          <w:left w:w="0" w:type="dxa"/>
          <w:bottom w:w="0" w:type="dxa"/>
          <w:right w:w="0" w:type="dxa"/>
        </w:tblCellMar>
      </w:tblPr>
      <w:tblGrid>
        <w:gridCol w:w="8192"/>
      </w:tblGrid>
      <w:tr>
        <w:tblPrEx>
          <w:tblCellMar>
            <w:top w:w="0" w:type="dxa"/>
            <w:left w:w="0" w:type="dxa"/>
            <w:bottom w:w="0" w:type="dxa"/>
            <w:right w:w="0" w:type="dxa"/>
          </w:tblCellMar>
        </w:tblPrEx>
        <w:trPr>
          <w:trHeight w:val="640" w:hRule="atLeast"/>
          <w:jc w:val="center"/>
        </w:trPr>
        <w:tc>
          <w:tcPr>
            <w:tcW w:w="8192"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widowControl/>
              <w:wordWrap w:val="0"/>
              <w:spacing w:line="320" w:lineRule="atLeast"/>
              <w:jc w:val="center"/>
              <w:rPr>
                <w:rFonts w:ascii="黑体" w:hAnsi="黑体" w:eastAsia="黑体"/>
                <w:spacing w:val="8"/>
                <w:kern w:val="0"/>
                <w:sz w:val="24"/>
                <w:szCs w:val="24"/>
              </w:rPr>
            </w:pPr>
            <w:r>
              <w:rPr>
                <w:rFonts w:hint="eastAsia" w:ascii="黑体" w:hAnsi="黑体" w:eastAsia="黑体"/>
                <w:sz w:val="24"/>
                <w:szCs w:val="24"/>
              </w:rPr>
              <w:t>专栏7：社区人才队伍建设行动计划</w:t>
            </w:r>
          </w:p>
        </w:tc>
      </w:tr>
      <w:tr>
        <w:tblPrEx>
          <w:tblCellMar>
            <w:top w:w="0" w:type="dxa"/>
            <w:left w:w="0" w:type="dxa"/>
            <w:bottom w:w="0" w:type="dxa"/>
            <w:right w:w="0" w:type="dxa"/>
          </w:tblCellMar>
        </w:tblPrEx>
        <w:trPr>
          <w:trHeight w:val="640" w:hRule="atLeast"/>
          <w:jc w:val="center"/>
        </w:trPr>
        <w:tc>
          <w:tcPr>
            <w:tcW w:w="8192"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1.新时代社区工作者主题培训行动计划。</w:t>
            </w:r>
            <w:r>
              <w:rPr>
                <w:rFonts w:hint="eastAsia" w:ascii="仿宋" w:hAnsi="仿宋" w:eastAsia="仿宋"/>
                <w:sz w:val="24"/>
                <w:szCs w:val="24"/>
              </w:rPr>
              <w:t>灵活采取多种形式，综合运用各种方式方法，将城乡社区工作者培训一遍，并推进实施后续培训。</w:t>
            </w: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2.社区志愿者队伍建设行动计划。</w:t>
            </w:r>
            <w:r>
              <w:rPr>
                <w:rFonts w:hint="eastAsia" w:ascii="仿宋" w:hAnsi="仿宋" w:eastAsia="仿宋"/>
                <w:sz w:val="24"/>
                <w:szCs w:val="24"/>
              </w:rPr>
              <w:t>依托全国志愿服务信息系统、志愿服务信息平台和“志愿开封”信息平台，推动有意愿、能胜任的社区居民登记注册。</w:t>
            </w:r>
          </w:p>
          <w:p>
            <w:pPr>
              <w:widowControl/>
              <w:spacing w:line="360" w:lineRule="auto"/>
              <w:ind w:firstLine="482" w:firstLineChars="200"/>
              <w:rPr>
                <w:rFonts w:ascii="仿宋" w:hAnsi="仿宋" w:eastAsia="仿宋" w:cs="仿宋_GB2312"/>
                <w:spacing w:val="8"/>
                <w:kern w:val="0"/>
                <w:sz w:val="24"/>
                <w:szCs w:val="24"/>
              </w:rPr>
            </w:pPr>
            <w:r>
              <w:rPr>
                <w:rFonts w:hint="eastAsia" w:ascii="仿宋" w:hAnsi="仿宋" w:eastAsia="仿宋"/>
                <w:b/>
                <w:bCs/>
                <w:sz w:val="24"/>
                <w:szCs w:val="24"/>
              </w:rPr>
              <w:t>3.社会工作人才队伍建设行动计划。</w:t>
            </w:r>
            <w:r>
              <w:rPr>
                <w:rFonts w:hint="eastAsia" w:ascii="仿宋" w:hAnsi="仿宋" w:eastAsia="仿宋"/>
                <w:sz w:val="24"/>
                <w:szCs w:val="24"/>
              </w:rPr>
              <w:t>全面推动乡镇（街道）社会工作站建设，引进、培育社会工作专业人才，将社会工作纳入城乡社区工作培训，鼓励城乡社区工作者参加全国社会工作者职业资格评价，掌握社会工作理念、知识、方法和技能。</w:t>
            </w:r>
          </w:p>
        </w:tc>
      </w:tr>
    </w:tbl>
    <w:p>
      <w:pPr>
        <w:pStyle w:val="5"/>
        <w:spacing w:before="312" w:after="312"/>
        <w:rPr>
          <w:rFonts w:hint="default" w:ascii="楷体" w:hAnsi="楷体" w:eastAsia="楷体"/>
          <w:b/>
          <w:bCs w:val="0"/>
          <w:sz w:val="32"/>
          <w:szCs w:val="32"/>
        </w:rPr>
      </w:pPr>
      <w:bookmarkStart w:id="40" w:name="_Toc15165"/>
      <w:r>
        <w:rPr>
          <w:rFonts w:ascii="楷体" w:hAnsi="楷体" w:eastAsia="楷体"/>
          <w:b/>
          <w:bCs w:val="0"/>
          <w:sz w:val="32"/>
          <w:szCs w:val="32"/>
        </w:rPr>
        <w:t>第三节 促进社会组织高质量发展</w:t>
      </w:r>
      <w:bookmarkEnd w:id="40"/>
    </w:p>
    <w:p>
      <w:pPr>
        <w:spacing w:line="360" w:lineRule="auto"/>
        <w:ind w:firstLine="643" w:firstLineChars="200"/>
        <w:rPr>
          <w:rFonts w:ascii="仿宋_GB2312" w:hAnsi="仿宋" w:eastAsia="仿宋"/>
          <w:strike/>
          <w:sz w:val="32"/>
          <w:szCs w:val="32"/>
        </w:rPr>
      </w:pPr>
      <w:r>
        <w:rPr>
          <w:rFonts w:hint="eastAsia" w:ascii="仿宋" w:hAnsi="仿宋" w:eastAsia="仿宋"/>
          <w:b/>
          <w:bCs/>
          <w:sz w:val="32"/>
          <w:szCs w:val="32"/>
        </w:rPr>
        <w:t>加强社会组织党的建设。</w:t>
      </w:r>
      <w:r>
        <w:rPr>
          <w:rFonts w:hint="eastAsia" w:ascii="仿宋" w:hAnsi="仿宋" w:eastAsia="仿宋"/>
          <w:sz w:val="32"/>
          <w:szCs w:val="32"/>
        </w:rPr>
        <w:t>加强党对社会组织的全面领导，引导社会组织感恩党、听党话、跟党走。根据民政工作职责，健全完善党建工作机制，有效实现党的组织和党的工作全覆盖，将党建工作融入社会组织运行和发展全过程，确保社会组织正确发展方向。进一步落实社会组织党建工作与登记、年检（年报）、评估“三同步”制度，全面提高社会组织党组织建设质量。有效发挥社会组织领域党组织的战斗堡垒作用和广大党员的先锋模范作用。鼓励社会组织负责人和党组织书记依法依规交叉任职，做好发展党员工作，培养社会组织专职党务工作者队伍，建立党组织有效参与决策管理的制度。</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规范社会组织登记管理。</w:t>
      </w:r>
      <w:r>
        <w:rPr>
          <w:rFonts w:hint="eastAsia" w:ascii="仿宋" w:hAnsi="仿宋" w:eastAsia="仿宋"/>
          <w:sz w:val="32"/>
          <w:szCs w:val="32"/>
        </w:rPr>
        <w:t>加强社会组织登记审查，继续落实“一窗受理，联审联批”制度，完善业务主管单位前置审查，强化社会组织发起人责任，严格规范执行党政机关领导干部、离退休领导干部在社会组织兼职行为。继续</w:t>
      </w:r>
      <w:r>
        <w:rPr>
          <w:rFonts w:hint="eastAsia" w:ascii="仿宋" w:hAnsi="仿宋" w:eastAsia="仿宋"/>
          <w:sz w:val="32"/>
          <w:szCs w:val="32"/>
          <w:lang w:eastAsia="zh-CN"/>
        </w:rPr>
        <w:t>实行</w:t>
      </w:r>
      <w:r>
        <w:rPr>
          <w:rFonts w:hint="eastAsia" w:ascii="仿宋" w:hAnsi="仿宋" w:eastAsia="仿宋"/>
          <w:sz w:val="32"/>
          <w:szCs w:val="32"/>
        </w:rPr>
        <w:t>登记工作有关事项的承诺制，加大践诺情况的监督。依托政务服务平台，进一步细化办事指南、优化操作程序、简化证明事项，依法推进社会组织直接登记改革，不断提升社会组织登记规范化水平和便民服务能力。优化社会组织层级分布、区域分布、行业分布、类型分布，逐步提高慈善组织的比例。完善退出机制，持续整治“僵尸型”社会组织，形成社会组织登记“有进有出”工作局面。</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强化社会组织综合监管。</w:t>
      </w:r>
      <w:r>
        <w:rPr>
          <w:rFonts w:hint="eastAsia" w:ascii="仿宋" w:hAnsi="仿宋" w:eastAsia="仿宋"/>
          <w:sz w:val="32"/>
          <w:szCs w:val="32"/>
        </w:rPr>
        <w:t>强化社会组织非营利性、非行政性监管。巩固深化行业协会商会脱钩改革成果，理清各部门对已脱钩行业协会商会和直接登记社会组织的管理服务职责，构建登记管理机关、党建工作机构、行业管理部门、相关职能部门各司其职、相互配合、依法监管的新型管理体制，重点治理依托公权力强制入会、乱收会费、违规开展评比达标表彰、党政领导干部违规兼职等问题。严格执行国家有关社会组织财务会计制度和票据管理使用制度，重点加强社会组织涉企收费、募捐捐赠等事项监管。落实社会组织按期换届法定要求，推进社会组织信息公开，鼓励社会监督，强化社会组织信用监管，加强社会组织“异常活动名录”、“严重违法失信名单”制度建设，完善信用联合奖惩制度。探索建立专业化、社会化第三方监督机制，进一步加大“双随机、一公开”抽查审计力度。不断提高社会组织执法水平，完善执法机制，规范执法程序，加强执法队伍建设，严厉查处社会组织违法违规行为，建立打击整治非法社会组织长效机制，着力防范化解社会组织领域重大风险。</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激发社会组织内生活力。</w:t>
      </w:r>
      <w:r>
        <w:rPr>
          <w:rFonts w:hint="eastAsia" w:ascii="仿宋" w:hAnsi="仿宋" w:eastAsia="仿宋"/>
          <w:sz w:val="32"/>
          <w:szCs w:val="32"/>
        </w:rPr>
        <w:t>加强社会组织内部治理，健全社会组织法人治理结构。引导社会组织建立健全财务、人事、资产、活动、分支机构等内部管理制度，提高社会组织依法依章开展活动的意识和能力，规范开展民主选举、民主决策和民主管理，健全内部监督机制。引导支持社会组织健康发展，重点培育行业性、公益性、枢纽型社会组织和提供养老、助残、儿童福利和未成年人保护等方面服务的社会组织。加强社会组织品牌建设，到2025年获得3A(含）以上评估等级的市、县登记的社会组织占其登记社会组织比例分别达到20%、15%。不断加大社区社会组织培育扶持力度，开展社区社会组织培育发展专项行动。引导和支持各级各类社会组织发挥自身优势，量力而行、尽力而为，积极参与市域治理、文明创建、乡村振兴、扶贫济困、养老育幼、慈善福利等工作。</w:t>
      </w:r>
    </w:p>
    <w:p>
      <w:pPr>
        <w:pStyle w:val="5"/>
        <w:spacing w:before="312" w:after="312"/>
        <w:rPr>
          <w:rFonts w:hint="default" w:ascii="楷体" w:hAnsi="楷体" w:eastAsia="楷体"/>
          <w:b/>
          <w:bCs w:val="0"/>
          <w:sz w:val="32"/>
          <w:szCs w:val="32"/>
        </w:rPr>
      </w:pPr>
      <w:bookmarkStart w:id="41" w:name="_Toc28606"/>
      <w:r>
        <w:rPr>
          <w:rFonts w:ascii="楷体" w:hAnsi="楷体" w:eastAsia="楷体"/>
          <w:b/>
          <w:bCs w:val="0"/>
          <w:sz w:val="32"/>
          <w:szCs w:val="32"/>
        </w:rPr>
        <w:t>第四节 助推慈善事业高效发展</w:t>
      </w:r>
      <w:bookmarkEnd w:id="41"/>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推动完善慈善组织建设。</w:t>
      </w:r>
      <w:r>
        <w:rPr>
          <w:rFonts w:hint="eastAsia" w:ascii="仿宋" w:hAnsi="仿宋" w:eastAsia="仿宋"/>
          <w:sz w:val="32"/>
          <w:szCs w:val="32"/>
        </w:rPr>
        <w:t>聚焦三次分配，充分重视和发挥慈善在收入财富分配、实现共同富裕和社会公平正义的“第三次分配”中的重要作用，持续提升慈善平台效能，培育慈善组织、行业组织、慈善基地、基层慈善平台等多元主体。推进公益性社会团体依法依规申请认定慈善组织。完善落实慈善组织（基金会）年报年检，落实公开募捐资格许可制度，引导规范包括互联网募捐在内的公开募捐行为，依法规范慈善组织发展。加大慈善信息公开力度，确保信息公开真实、准确、完整、及时。创新监管方式，加强慈善组织评价和信用体系建设，利用信息化手段提高监管效率，突出关键环节，加强对网络募捐的监督。完善慈善服务体系，协调落实优惠政策和支持条件，促进慈善组织健康发展。加强慈善专业人才培养，提升公益慈善事业发展的规范化、专业化水平。明确基层慈善工作站职能定位，推进慈善工作站建设，强化慈善活动主体地位，加强基层慈善工作站开展对外募捐、专项行动等活动规章制度建设，规范开展慈善公益活动。完善各地慈善工作站协同合作机制，积极整合资源，主动与辖区爱心企业、社工组织联系，寻找合作的契合点。通过政府购买服务、开展志愿活动等方式，不断扩大慈善活动的影响和实施效果。</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支持社会力量参与慈善活动。</w:t>
      </w:r>
      <w:r>
        <w:rPr>
          <w:rFonts w:hint="eastAsia" w:ascii="仿宋" w:hAnsi="仿宋" w:eastAsia="仿宋"/>
          <w:sz w:val="32"/>
          <w:szCs w:val="32"/>
        </w:rPr>
        <w:t>提高各级部门思想认识，共同参与，推进县(区)慈善组织和业务合作单位高效联动，深度合作，把宣传动员工作深入到乡村、社区，达到家喻户晓。采取各种形式广泛动员社会各界参与，形成人人公益的浓厚氛围。创新慈善活动参与方式，鼓励、引导捐赠人开展包括货币、实物、房屋、有价证券、股权、知识产权等有形和无形财产进行形式多样的慈善捐赠。积极发展慈善信托，支持有条件、有意愿的自然人、法人或其他组织依法设立慈善信托，发挥慈善信托拓宽慈善参与面的载体作用。实施开封市慈善信托基金建设计划，支持发展具有开放性、公开性和安全性的信托基金，为有需要的个人或家庭，在特别和紧急情形下其他方面之经济援助均不适用或未能及时提供时，提供直接及临时的援助。积极调动开封市媒体资源，发挥自身传播优势，围绕线上慈善项目，以开设栏目、专题及策划户外线下活动等形式进行传播推广。加大慈善法律法规政策、慈善文化宣传力度，</w:t>
      </w:r>
      <w:r>
        <w:rPr>
          <w:rFonts w:hint="eastAsia" w:ascii="仿宋" w:hAnsi="仿宋" w:eastAsia="仿宋"/>
          <w:spacing w:val="8"/>
          <w:kern w:val="0"/>
          <w:sz w:val="32"/>
          <w:szCs w:val="32"/>
        </w:rPr>
        <w:t>完善慈善表彰奖励制度，加大对慈善行为、慈善典型的宣传和褒扬，弘扬慈善文化。</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规范发行福利彩票。</w:t>
      </w:r>
      <w:r>
        <w:rPr>
          <w:rFonts w:hint="eastAsia" w:ascii="仿宋" w:hAnsi="仿宋" w:eastAsia="仿宋"/>
          <w:sz w:val="32"/>
          <w:szCs w:val="32"/>
        </w:rPr>
        <w:t>健全行业激励约束机制、市场调控机制和监督管理机制，推动福利彩票持续健康发展。积极适应国家彩票政策调整，积极探索符合公益事业发展规律和彩票市场发展规律的运营模式，推动传统销售网点转型发展，加大销售网点挖掘和培育力度，提高开封市福利彩票销售网点的覆盖率。至2025年，力争福利彩票销售网点数量达到320个。深入推进福利彩票社会责任建设，宣传普及彩票基本知识，保障参与者合法权益，打造公益品牌，塑造福利彩票公益形象。加强对公益金资助项目的分类指导，实施公益金项目全过程绩效管理，推动福利彩票公益金切实发挥“扶老、助残、救孤、济困”作用。</w:t>
      </w:r>
    </w:p>
    <w:p>
      <w:pPr>
        <w:pStyle w:val="5"/>
        <w:spacing w:before="312" w:after="312"/>
        <w:rPr>
          <w:rFonts w:hint="default" w:ascii="楷体" w:hAnsi="楷体" w:eastAsia="楷体"/>
          <w:b/>
          <w:bCs w:val="0"/>
          <w:sz w:val="32"/>
          <w:szCs w:val="32"/>
        </w:rPr>
      </w:pPr>
      <w:bookmarkStart w:id="42" w:name="_Toc31856"/>
      <w:r>
        <w:rPr>
          <w:rFonts w:ascii="楷体" w:hAnsi="楷体" w:eastAsia="楷体"/>
          <w:b/>
          <w:bCs w:val="0"/>
          <w:sz w:val="32"/>
          <w:szCs w:val="32"/>
        </w:rPr>
        <w:t>第五节 完善社会工作和志愿服务体系</w:t>
      </w:r>
      <w:bookmarkEnd w:id="42"/>
    </w:p>
    <w:p>
      <w:pPr>
        <w:ind w:firstLine="643" w:firstLineChars="200"/>
        <w:rPr>
          <w:rFonts w:ascii="仿宋" w:hAnsi="仿宋" w:eastAsia="仿宋" w:cs="宋体"/>
          <w:sz w:val="32"/>
          <w:szCs w:val="32"/>
        </w:rPr>
      </w:pPr>
      <w:r>
        <w:rPr>
          <w:rFonts w:hint="eastAsia" w:ascii="仿宋" w:hAnsi="仿宋" w:eastAsia="仿宋"/>
          <w:b/>
          <w:bCs/>
          <w:sz w:val="32"/>
          <w:szCs w:val="32"/>
        </w:rPr>
        <w:t>建立健全社会工作体系。</w:t>
      </w:r>
      <w:r>
        <w:rPr>
          <w:rFonts w:hint="eastAsia" w:ascii="仿宋" w:hAnsi="仿宋" w:eastAsia="仿宋"/>
          <w:sz w:val="32"/>
          <w:szCs w:val="32"/>
        </w:rPr>
        <w:t>完善党委领导、政府负责、群团助推、社会协同、公众参与的社会工作统筹机制，明确分工协作、齐抓共管、高效顺畅的工作格局。建设社会工作三级服务体系,按照“有场地、有设施、有人员、有服务、有流程、有制度”的标准，实施县级社会工作指导中心、乡镇（街道）社会工作站和村（社区）社会工作室项目，夯实乡镇（街道）社会工作服务站“113X”服务模式，推动社工站（点）在困难群众帮扶、老年人服务、困境儿童关爱保护、社会支持网络构建、社区参与能力提升、社会工作与志愿服务组织培育等方面发挥作用。到2025年底，基本建成社会工作三级服务体系。优化社会工作岗位设置，支持民政服务机构与基层民政经办机构、社区、社会服务机构和重点领域事业单位设置相应的社会工作岗位，积极开展社会工作者职业水平评价工作，提升社会工作者继续教育水平。力争到</w:t>
      </w:r>
      <w:r>
        <w:rPr>
          <w:rFonts w:hint="eastAsia" w:ascii="仿宋" w:hAnsi="仿宋" w:eastAsia="仿宋" w:cs="宋体"/>
          <w:sz w:val="32"/>
          <w:szCs w:val="32"/>
        </w:rPr>
        <w:t>2025年，全市持证社会工作专业人才总量力争超过2000人。</w:t>
      </w:r>
      <w:r>
        <w:rPr>
          <w:rFonts w:hint="eastAsia" w:ascii="仿宋" w:hAnsi="仿宋" w:eastAsia="仿宋"/>
          <w:sz w:val="32"/>
          <w:szCs w:val="32"/>
        </w:rPr>
        <w:t>发挥财政性资金引导作用，加大彩票公益金支持力度，健全政府购买社会工作服务长效机制。建立社会工作服务项目资金管理、评审评价、购买服务、绩效评估等制度，规范项目管理。</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加强志愿服务体系建设。</w:t>
      </w:r>
      <w:r>
        <w:rPr>
          <w:rFonts w:hint="eastAsia" w:ascii="仿宋" w:hAnsi="仿宋" w:eastAsia="仿宋"/>
          <w:sz w:val="32"/>
          <w:szCs w:val="32"/>
        </w:rPr>
        <w:t>推动完善志愿服务政策法规体系，发展壮大志愿服务组织，规范志愿服务组织活动。推动乡镇（街道）、城乡社区依托新时代文明实践中心（所、站）、文化设施单位、社区综合服务设施、社会工作站等建设志愿服务站点，为群众参与和接受志愿服务提供便利条件，到2025年底，志愿服务站点在社区综合服务设施中的覆盖率达到80%以上。推广应用全国志愿服务信息系统和“志愿河南”志愿服务信息系统，加强志愿服务记录和证明出具工作，持续推进志愿服务信息数据的归集和管理。在民政领域广泛开展专项志愿服务活动，推动志愿服务精准化、常态化、专业化，力争打造一批叫得响、立得住的志愿服务品牌项目和组织。</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探索社会工作和志愿服务融合发展新模式。</w:t>
      </w:r>
      <w:r>
        <w:rPr>
          <w:rFonts w:hint="eastAsia" w:ascii="仿宋" w:hAnsi="仿宋" w:eastAsia="仿宋"/>
          <w:sz w:val="32"/>
          <w:szCs w:val="32"/>
        </w:rPr>
        <w:t>建立以社区为平台、社区社会组织为支撑、社会工作专业人才队伍为保障、社区志愿者为补充、社区公益慈善资源为支持的“五社联动”工作机制，实现资源整合、优势互补、相互协作。围绕国家重大战略、社会工作重点领域和群体需求，培育壮大社会工作和志愿服务类行业组织，重点实施社会救助、社会福利、社区治理、儿童关爱、为老服务等社会工作和志愿服务项目。积极推广“社工+志愿者”联动机制，引导志愿者通过自学、参加社会工作职业水平评价等方式，转型为社会工作专业人才。开展示范创建活动，打造一批群众认可、特色鲜明、具有示范带头作用的社会工作和志愿服务品牌。</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不断提升社工队伍能力素质。</w:t>
      </w:r>
      <w:r>
        <w:rPr>
          <w:rFonts w:hint="eastAsia" w:ascii="仿宋" w:hAnsi="仿宋" w:eastAsia="仿宋"/>
          <w:sz w:val="32"/>
          <w:szCs w:val="32"/>
        </w:rPr>
        <w:t>探索建立社会工作者分类分级培养机制和管理办法，推进网格员、人民调解员等队伍与社会工作人才队伍融合发展，提高社会工作专业人才总量和水平。</w:t>
      </w:r>
    </w:p>
    <w:p>
      <w:pPr>
        <w:pStyle w:val="5"/>
        <w:spacing w:before="312" w:after="312"/>
        <w:rPr>
          <w:rFonts w:hint="default" w:ascii="楷体" w:hAnsi="楷体" w:eastAsia="楷体"/>
          <w:b/>
          <w:bCs w:val="0"/>
          <w:sz w:val="32"/>
          <w:szCs w:val="32"/>
        </w:rPr>
      </w:pPr>
      <w:bookmarkStart w:id="43" w:name="_Toc32238"/>
      <w:r>
        <w:rPr>
          <w:rFonts w:ascii="楷体" w:hAnsi="楷体" w:eastAsia="楷体"/>
          <w:b/>
          <w:bCs w:val="0"/>
          <w:sz w:val="32"/>
          <w:szCs w:val="32"/>
        </w:rPr>
        <w:t>第六节 加强行政区划和行政区域界线管理</w:t>
      </w:r>
      <w:bookmarkEnd w:id="43"/>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优化行政区划设置。</w:t>
      </w:r>
      <w:r>
        <w:rPr>
          <w:rFonts w:hint="eastAsia" w:ascii="仿宋" w:hAnsi="仿宋" w:eastAsia="仿宋"/>
          <w:sz w:val="32"/>
          <w:szCs w:val="32"/>
        </w:rPr>
        <w:t>健全行政区划管理制度，细化工作规程，完善工作程序，提升行政区划设置的规范性、科学性</w:t>
      </w:r>
      <w:r>
        <w:rPr>
          <w:rFonts w:hint="eastAsia" w:ascii="仿宋" w:hAnsi="仿宋" w:eastAsia="仿宋"/>
          <w:sz w:val="32"/>
          <w:szCs w:val="32"/>
          <w:lang w:eastAsia="zh-CN"/>
        </w:rPr>
        <w:t>，</w:t>
      </w:r>
      <w:r>
        <w:rPr>
          <w:rFonts w:hint="eastAsia" w:ascii="仿宋" w:hAnsi="仿宋" w:eastAsia="仿宋"/>
          <w:sz w:val="32"/>
          <w:szCs w:val="32"/>
        </w:rPr>
        <w:t>加强区划变更的评估论证</w:t>
      </w:r>
      <w:r>
        <w:rPr>
          <w:rFonts w:hint="eastAsia" w:ascii="仿宋" w:hAnsi="仿宋" w:eastAsia="仿宋"/>
          <w:sz w:val="32"/>
          <w:szCs w:val="32"/>
          <w:lang w:eastAsia="zh-CN"/>
        </w:rPr>
        <w:t>。有条件的，</w:t>
      </w:r>
      <w:r>
        <w:rPr>
          <w:rFonts w:hint="eastAsia" w:ascii="仿宋" w:hAnsi="仿宋" w:eastAsia="仿宋"/>
          <w:sz w:val="32"/>
          <w:szCs w:val="32"/>
        </w:rPr>
        <w:t>有序推进撤乡设镇、撤镇（乡）设街道工作，理顺管理体制，合理优化行政区划设置，构建城乡融合发展新格局。</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加强行政区域内界线界桩管理。</w:t>
      </w:r>
      <w:r>
        <w:rPr>
          <w:rFonts w:hint="eastAsia" w:ascii="仿宋" w:hAnsi="仿宋" w:eastAsia="仿宋"/>
          <w:sz w:val="32"/>
          <w:szCs w:val="32"/>
        </w:rPr>
        <w:t>加强对行政区域界线界桩的管理，维护行政区域界线界桩的严肃性、完好性。严格执行行政区域界线批准文件和行政区域界线协议书的有关规定。按照分级管理的原则，将行政区域界线界桩管护所需经费列入同级人民政府财政预算，由同级财政予以保障。加强行政区域界线管理，扎实推进平安边界创建工作。依法推进开封市及县级行政区域界线联合检查，完成第四轮并启动实施第五轮行政区域界线联检工作。</w:t>
      </w:r>
    </w:p>
    <w:tbl>
      <w:tblPr>
        <w:tblStyle w:val="26"/>
        <w:tblW w:w="8192" w:type="dxa"/>
        <w:jc w:val="center"/>
        <w:tblLayout w:type="fixed"/>
        <w:tblCellMar>
          <w:top w:w="0" w:type="dxa"/>
          <w:left w:w="0" w:type="dxa"/>
          <w:bottom w:w="0" w:type="dxa"/>
          <w:right w:w="0" w:type="dxa"/>
        </w:tblCellMar>
      </w:tblPr>
      <w:tblGrid>
        <w:gridCol w:w="8192"/>
      </w:tblGrid>
      <w:tr>
        <w:tblPrEx>
          <w:tblCellMar>
            <w:top w:w="0" w:type="dxa"/>
            <w:left w:w="0" w:type="dxa"/>
            <w:bottom w:w="0" w:type="dxa"/>
            <w:right w:w="0" w:type="dxa"/>
          </w:tblCellMar>
        </w:tblPrEx>
        <w:trPr>
          <w:trHeight w:val="640" w:hRule="atLeast"/>
          <w:jc w:val="center"/>
        </w:trPr>
        <w:tc>
          <w:tcPr>
            <w:tcW w:w="8192"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widowControl/>
              <w:wordWrap w:val="0"/>
              <w:spacing w:line="320" w:lineRule="atLeast"/>
              <w:jc w:val="center"/>
              <w:rPr>
                <w:rFonts w:ascii="黑体" w:hAnsi="黑体" w:eastAsia="黑体"/>
                <w:spacing w:val="8"/>
                <w:kern w:val="0"/>
                <w:sz w:val="24"/>
                <w:szCs w:val="24"/>
              </w:rPr>
            </w:pPr>
            <w:r>
              <w:rPr>
                <w:rFonts w:hint="eastAsia" w:ascii="黑体" w:hAnsi="黑体" w:eastAsia="黑体"/>
                <w:sz w:val="24"/>
                <w:szCs w:val="24"/>
              </w:rPr>
              <w:t>专栏8：提升社会治理创新能力建设工程</w:t>
            </w:r>
          </w:p>
        </w:tc>
      </w:tr>
      <w:tr>
        <w:tblPrEx>
          <w:tblCellMar>
            <w:top w:w="0" w:type="dxa"/>
            <w:left w:w="0" w:type="dxa"/>
            <w:bottom w:w="0" w:type="dxa"/>
            <w:right w:w="0" w:type="dxa"/>
          </w:tblCellMar>
        </w:tblPrEx>
        <w:trPr>
          <w:trHeight w:val="640" w:hRule="atLeast"/>
          <w:jc w:val="center"/>
        </w:trPr>
        <w:tc>
          <w:tcPr>
            <w:tcW w:w="8192"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widowControl/>
              <w:spacing w:line="360" w:lineRule="auto"/>
              <w:ind w:firstLine="480" w:firstLineChars="200"/>
              <w:rPr>
                <w:rFonts w:ascii="仿宋" w:hAnsi="仿宋" w:eastAsia="仿宋" w:cs="仿宋_GB2312"/>
                <w:spacing w:val="8"/>
                <w:kern w:val="0"/>
                <w:sz w:val="24"/>
                <w:szCs w:val="24"/>
              </w:rPr>
            </w:pPr>
            <w:r>
              <w:rPr>
                <w:rFonts w:hint="eastAsia" w:ascii="仿宋" w:hAnsi="仿宋" w:eastAsia="仿宋"/>
                <w:sz w:val="24"/>
                <w:szCs w:val="24"/>
              </w:rPr>
              <w:t>推进社会工作专业化建设，积极开展社会工作者职业水平评价工作，提升社会工作者继续教育水平，力争到2025年，全市社会工作专业人才总量达到2000人。</w:t>
            </w:r>
          </w:p>
        </w:tc>
      </w:tr>
    </w:tbl>
    <w:p>
      <w:pPr>
        <w:rPr>
          <w:rFonts w:ascii="方正小标宋简体" w:hAnsi="方正小标宋简体"/>
          <w:sz w:val="32"/>
          <w:szCs w:val="32"/>
        </w:rPr>
      </w:pPr>
    </w:p>
    <w:bookmarkEnd w:id="16"/>
    <w:bookmarkEnd w:id="37"/>
    <w:p>
      <w:pPr>
        <w:keepNext/>
        <w:keepLines/>
        <w:spacing w:before="624" w:beforeLines="200" w:after="624" w:afterLines="200" w:line="360" w:lineRule="auto"/>
        <w:jc w:val="center"/>
        <w:outlineLvl w:val="0"/>
        <w:rPr>
          <w:rFonts w:ascii="黑体" w:hAnsi="黑体" w:eastAsia="黑体"/>
          <w:kern w:val="44"/>
          <w:sz w:val="32"/>
          <w:szCs w:val="32"/>
        </w:rPr>
      </w:pPr>
      <w:bookmarkStart w:id="44" w:name="_Toc20518"/>
      <w:r>
        <w:rPr>
          <w:rFonts w:hint="eastAsia" w:ascii="黑体" w:hAnsi="黑体" w:eastAsia="黑体"/>
          <w:kern w:val="44"/>
          <w:sz w:val="32"/>
          <w:szCs w:val="32"/>
        </w:rPr>
        <w:t>第六章 建设优质高效社会服务体系</w:t>
      </w:r>
      <w:bookmarkEnd w:id="44"/>
    </w:p>
    <w:p>
      <w:pPr>
        <w:ind w:firstLine="640" w:firstLineChars="200"/>
        <w:rPr>
          <w:rFonts w:ascii="仿宋" w:hAnsi="仿宋" w:eastAsia="仿宋"/>
          <w:sz w:val="32"/>
          <w:szCs w:val="32"/>
        </w:rPr>
      </w:pPr>
      <w:r>
        <w:rPr>
          <w:rFonts w:hint="eastAsia" w:ascii="仿宋" w:hAnsi="仿宋" w:eastAsia="仿宋"/>
          <w:sz w:val="32"/>
          <w:szCs w:val="32"/>
        </w:rPr>
        <w:t>建设人民满意的服务型民政,探索建立民政服务长效机制，不断完善社会服务体制机制建设，优化基本社会服务供给。贯彻落实《中华人民共和国民法典》，积极实施婚俗改革，大力推进殡葬服务改革，完善未成年人关爱机制，提升地名管理服务水平，推动民政服务规范化、标准化、高质量发展。创新规范社会事务管理，推进基本社会服务更优化。</w:t>
      </w:r>
    </w:p>
    <w:p>
      <w:pPr>
        <w:keepNext/>
        <w:keepLines/>
        <w:spacing w:before="312" w:beforeLines="100" w:after="312" w:afterLines="100" w:line="360" w:lineRule="auto"/>
        <w:ind w:firstLine="602"/>
        <w:jc w:val="center"/>
        <w:outlineLvl w:val="1"/>
        <w:rPr>
          <w:rFonts w:ascii="楷体" w:hAnsi="楷体" w:eastAsia="楷体"/>
          <w:b/>
          <w:kern w:val="0"/>
          <w:sz w:val="32"/>
          <w:szCs w:val="32"/>
        </w:rPr>
      </w:pPr>
      <w:bookmarkStart w:id="45" w:name="_Toc11542"/>
      <w:r>
        <w:rPr>
          <w:rFonts w:hint="eastAsia" w:ascii="楷体" w:hAnsi="楷体" w:eastAsia="楷体"/>
          <w:b/>
          <w:kern w:val="0"/>
          <w:sz w:val="32"/>
          <w:szCs w:val="32"/>
        </w:rPr>
        <w:t>第一节 推进和谐婚姻家庭建设</w:t>
      </w:r>
      <w:bookmarkEnd w:id="45"/>
    </w:p>
    <w:p>
      <w:pPr>
        <w:ind w:firstLine="626"/>
        <w:rPr>
          <w:rFonts w:ascii="仿宋" w:hAnsi="仿宋" w:eastAsia="仿宋"/>
          <w:sz w:val="32"/>
          <w:szCs w:val="32"/>
        </w:rPr>
      </w:pPr>
      <w:r>
        <w:rPr>
          <w:rFonts w:hint="eastAsia" w:ascii="仿宋" w:hAnsi="仿宋" w:eastAsia="仿宋"/>
          <w:b/>
          <w:bCs/>
          <w:sz w:val="32"/>
          <w:szCs w:val="32"/>
        </w:rPr>
        <w:t>完善基本婚姻登记服务</w:t>
      </w:r>
      <w:r>
        <w:rPr>
          <w:rFonts w:hint="eastAsia" w:ascii="仿宋" w:hAnsi="仿宋" w:eastAsia="仿宋"/>
          <w:sz w:val="32"/>
          <w:szCs w:val="32"/>
        </w:rPr>
        <w:t>。扎实开展结婚登记“跨省通办”全国试点工作，全面推进婚姻登记机关规范化、标准化建设，2025年前实现婚姻登记所有业务“跨省通办”；加大婚姻登记业务培训力度，全面提升工作人员服务水平。指导各县区高标准建成婚姻颁证大厅，推行规范、统一的颁证仪式，实现结婚登记颁证常态化，健全婚姻登记、家庭辅导、婚俗文化宣讲等工作机制，增强新时代婚姻登记的仪式感、神圣感。建立健全婚姻登记应急工作机制和婚姻登记特殊日期应急处置预案。</w:t>
      </w:r>
    </w:p>
    <w:p>
      <w:pPr>
        <w:spacing w:line="360" w:lineRule="auto"/>
        <w:ind w:firstLine="643" w:firstLineChars="200"/>
        <w:rPr>
          <w:rFonts w:ascii="仿宋" w:hAnsi="仿宋" w:eastAsia="仿宋" w:cs="宋体"/>
          <w:sz w:val="32"/>
          <w:szCs w:val="32"/>
        </w:rPr>
      </w:pPr>
      <w:r>
        <w:rPr>
          <w:rFonts w:hint="eastAsia" w:ascii="仿宋" w:hAnsi="仿宋" w:eastAsia="仿宋"/>
          <w:b/>
          <w:bCs/>
          <w:sz w:val="32"/>
          <w:szCs w:val="32"/>
        </w:rPr>
        <w:t>创新婚姻登记数字化服务。</w:t>
      </w:r>
      <w:r>
        <w:rPr>
          <w:rFonts w:hint="eastAsia" w:ascii="仿宋" w:hAnsi="仿宋" w:eastAsia="仿宋"/>
          <w:sz w:val="32"/>
          <w:szCs w:val="32"/>
        </w:rPr>
        <w:t>积极开展“互联网+婚姻登记”工作，稳步推进婚姻登记信息系统使用，补充完善公民婚姻信息数据，2022年底前完成建国以来婚姻登记纸质档案电子化工作。推动婚姻登记标准化，进一步促进婚姻信息联网和数据共享，实现法院婚姻判决（调解）数据审查、指纹比对、人脸识别比对、电子证照签发管理等业务办理功能数字化，切实推动婚姻登记信息化建设</w:t>
      </w:r>
      <w:r>
        <w:rPr>
          <w:rFonts w:hint="eastAsia" w:ascii="仿宋" w:hAnsi="仿宋" w:eastAsia="仿宋" w:cs="宋体"/>
          <w:sz w:val="32"/>
          <w:szCs w:val="32"/>
        </w:rPr>
        <w:t>。</w:t>
      </w:r>
    </w:p>
    <w:p>
      <w:pPr>
        <w:spacing w:line="360" w:lineRule="auto"/>
        <w:ind w:firstLine="643" w:firstLineChars="200"/>
        <w:rPr>
          <w:rFonts w:ascii="仿宋" w:hAnsi="仿宋" w:eastAsia="仿宋" w:cs="宋体"/>
          <w:b/>
          <w:bCs/>
          <w:sz w:val="32"/>
          <w:szCs w:val="32"/>
        </w:rPr>
      </w:pPr>
      <w:r>
        <w:rPr>
          <w:rFonts w:hint="eastAsia" w:ascii="仿宋" w:hAnsi="仿宋" w:eastAsia="仿宋" w:cs="宋体"/>
          <w:b/>
          <w:bCs/>
          <w:sz w:val="32"/>
          <w:szCs w:val="32"/>
        </w:rPr>
        <w:t>创新开展婚姻家庭辅导工作。</w:t>
      </w:r>
      <w:r>
        <w:rPr>
          <w:rFonts w:hint="eastAsia" w:ascii="仿宋" w:hAnsi="仿宋" w:eastAsia="仿宋" w:cs="宋体"/>
          <w:sz w:val="32"/>
          <w:szCs w:val="32"/>
        </w:rPr>
        <w:t>推动婚姻家庭辅导室全覆盖，宣传贯彻《中华人民共和国民法典》（婚姻家庭编），拓展婚姻家庭服务内容，加强婚姻政策咨询、婚姻知识宣传、婚姻情感疏导等服务。积极开展婚前辅导工作，开发婚前辅导课程，从源头上减少婚姻家庭纠纷。深化婚姻家庭关系调适和离婚辅导，探索离婚冷静期内对当事人开展婚姻危机干预的有效方法和措施。</w:t>
      </w:r>
    </w:p>
    <w:p>
      <w:pPr>
        <w:ind w:firstLine="626"/>
        <w:rPr>
          <w:sz w:val="32"/>
          <w:szCs w:val="32"/>
        </w:rPr>
      </w:pPr>
      <w:r>
        <w:rPr>
          <w:rFonts w:hint="eastAsia" w:ascii="仿宋" w:hAnsi="仿宋" w:eastAsia="仿宋" w:cs="宋体"/>
          <w:b/>
          <w:bCs/>
          <w:sz w:val="32"/>
          <w:szCs w:val="32"/>
        </w:rPr>
        <w:t>扎实做好婚俗改革试点工作。</w:t>
      </w:r>
      <w:r>
        <w:rPr>
          <w:rFonts w:hint="eastAsia" w:ascii="仿宋" w:hAnsi="仿宋" w:eastAsia="仿宋" w:cs="宋体"/>
          <w:sz w:val="32"/>
          <w:szCs w:val="32"/>
        </w:rPr>
        <w:t>坚持婚俗改革与社会主义核心价值观、开封优秀历史文化有机融合，促进婚俗改革同加强基层治理等工作有机融合，积极推进婚俗改革试点工作，坚持目标导向，明确婚俗改革重点和难点，强化部门协同配合，完善工作机制，形成推进婚俗改革的合力。重点支持河南省及中原地区婚俗文化遗产宣传展示，重点谋划并支持城乡一体化示范区婚俗文化广场建设,指导县区开展第二批婚俗改革试验区试点工作。至2025年，天价彩礼、随礼攀比、大操大办等陈规陋俗得到稳妥整治，全市婚俗改革工作成效显著。</w:t>
      </w:r>
    </w:p>
    <w:tbl>
      <w:tblPr>
        <w:tblStyle w:val="26"/>
        <w:tblW w:w="8192" w:type="dxa"/>
        <w:jc w:val="center"/>
        <w:tblLayout w:type="fixed"/>
        <w:tblCellMar>
          <w:top w:w="0" w:type="dxa"/>
          <w:left w:w="0" w:type="dxa"/>
          <w:bottom w:w="0" w:type="dxa"/>
          <w:right w:w="0" w:type="dxa"/>
        </w:tblCellMar>
      </w:tblPr>
      <w:tblGrid>
        <w:gridCol w:w="8192"/>
      </w:tblGrid>
      <w:tr>
        <w:tblPrEx>
          <w:tblCellMar>
            <w:top w:w="0" w:type="dxa"/>
            <w:left w:w="0" w:type="dxa"/>
            <w:bottom w:w="0" w:type="dxa"/>
            <w:right w:w="0" w:type="dxa"/>
          </w:tblCellMar>
        </w:tblPrEx>
        <w:trPr>
          <w:trHeight w:val="640" w:hRule="atLeast"/>
          <w:jc w:val="center"/>
        </w:trPr>
        <w:tc>
          <w:tcPr>
            <w:tcW w:w="8192"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widowControl/>
              <w:wordWrap w:val="0"/>
              <w:spacing w:line="320" w:lineRule="atLeast"/>
              <w:jc w:val="center"/>
              <w:rPr>
                <w:rFonts w:ascii="黑体" w:hAnsi="黑体" w:eastAsia="黑体"/>
                <w:spacing w:val="8"/>
                <w:kern w:val="0"/>
                <w:sz w:val="24"/>
                <w:szCs w:val="24"/>
              </w:rPr>
            </w:pPr>
            <w:r>
              <w:rPr>
                <w:rFonts w:hint="eastAsia" w:ascii="黑体" w:hAnsi="黑体" w:eastAsia="黑体"/>
                <w:sz w:val="24"/>
                <w:szCs w:val="24"/>
              </w:rPr>
              <w:t>专栏9：婚姻服务提升计划</w:t>
            </w:r>
          </w:p>
        </w:tc>
      </w:tr>
      <w:tr>
        <w:tblPrEx>
          <w:tblCellMar>
            <w:top w:w="0" w:type="dxa"/>
            <w:left w:w="0" w:type="dxa"/>
            <w:bottom w:w="0" w:type="dxa"/>
            <w:right w:w="0" w:type="dxa"/>
          </w:tblCellMar>
        </w:tblPrEx>
        <w:trPr>
          <w:trHeight w:val="640" w:hRule="atLeast"/>
          <w:jc w:val="center"/>
        </w:trPr>
        <w:tc>
          <w:tcPr>
            <w:tcW w:w="8192"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spacing w:line="360" w:lineRule="auto"/>
              <w:ind w:firstLine="480" w:firstLineChars="200"/>
              <w:rPr>
                <w:rFonts w:ascii="仿宋" w:hAnsi="仿宋" w:eastAsia="仿宋"/>
                <w:sz w:val="24"/>
                <w:szCs w:val="24"/>
              </w:rPr>
            </w:pPr>
            <w:r>
              <w:rPr>
                <w:rFonts w:hint="eastAsia" w:ascii="仿宋" w:hAnsi="仿宋" w:eastAsia="仿宋"/>
                <w:sz w:val="24"/>
                <w:szCs w:val="24"/>
              </w:rPr>
              <w:t>稳妥推进婚姻登记“跨省通办”。扩展与优化婚姻服务，加强婚姻登记处规范化建设，努力打造婚俗展示、家风教育、文明实践的婚姻文化场所，提升婚姻登记的服务品质和文化内涵。以信息化建设为支点，积极推动婚姻管理信息化建设，用新科技、新理念促进婚姻登记管理工作的不断创新发展，让群众共享“数字红利”。大力推动婚俗改革，加强婚姻文化建设，提升婚姻服务水平，促进婚姻家庭幸福美满，促进婚俗文化博物馆建设。</w:t>
            </w:r>
          </w:p>
        </w:tc>
      </w:tr>
    </w:tbl>
    <w:p>
      <w:pPr>
        <w:keepNext/>
        <w:keepLines/>
        <w:spacing w:before="312" w:beforeLines="100" w:after="312" w:afterLines="100" w:line="360" w:lineRule="auto"/>
        <w:ind w:firstLine="602"/>
        <w:jc w:val="center"/>
        <w:outlineLvl w:val="1"/>
        <w:rPr>
          <w:rFonts w:ascii="楷体" w:hAnsi="楷体" w:eastAsia="楷体"/>
          <w:b/>
          <w:kern w:val="0"/>
          <w:sz w:val="32"/>
          <w:szCs w:val="32"/>
        </w:rPr>
      </w:pPr>
      <w:bookmarkStart w:id="46" w:name="_Toc21612"/>
      <w:r>
        <w:rPr>
          <w:rFonts w:hint="eastAsia" w:ascii="楷体" w:hAnsi="楷体" w:eastAsia="楷体"/>
          <w:b/>
          <w:kern w:val="0"/>
          <w:sz w:val="32"/>
          <w:szCs w:val="32"/>
        </w:rPr>
        <w:t>第二节 提升殡葬管理服务水平</w:t>
      </w:r>
      <w:bookmarkEnd w:id="46"/>
    </w:p>
    <w:p>
      <w:pPr>
        <w:spacing w:line="560" w:lineRule="exact"/>
        <w:ind w:firstLine="640"/>
        <w:rPr>
          <w:rFonts w:ascii="仿宋" w:hAnsi="仿宋" w:eastAsia="仿宋"/>
          <w:sz w:val="32"/>
          <w:szCs w:val="32"/>
        </w:rPr>
      </w:pPr>
      <w:r>
        <w:rPr>
          <w:rFonts w:hint="eastAsia" w:ascii="仿宋" w:hAnsi="仿宋" w:eastAsia="仿宋"/>
          <w:b/>
          <w:bCs/>
          <w:sz w:val="32"/>
          <w:szCs w:val="32"/>
        </w:rPr>
        <w:t>加强殡葬设施建设。</w:t>
      </w:r>
      <w:r>
        <w:rPr>
          <w:rFonts w:hint="eastAsia" w:ascii="仿宋" w:hAnsi="仿宋" w:eastAsia="仿宋"/>
          <w:sz w:val="32"/>
          <w:szCs w:val="32"/>
        </w:rPr>
        <w:t>坚持公益属性，强化殡仪馆公共服务职能，加快新建殡仪馆建设进度，祥符区2023年底前建成一个集殡仪馆、公益性公墓为一体的殡葬服务园区，兰考县、杞县2023年底前完成殡仪馆改扩建，其他各县完成殡仪馆升级改造，不断提升殡葬服务能力。完善惠民殡葬政策和殡葬设施布局规划，加强殡葬服务设施建设，持续推进城市公益性公墓和示范性农村公益性公墓建设，实现公益性安葬设施城乡全覆盖，加强节地生态安葬设施建设，持续推动树葬、花坛葬、草坪葬等多种形式的节地文明安葬方式，将节地生态安葬服务纳入基本殡葬公共服务体系，做好市殡仪馆的搬迁工作。至2022年底前，市级建成1个不少于200亩的城市公益性公墓，每个县建成1个不少于100亩的城市公益性公墓，每个乡镇至少建成1个不少于50亩的示范性农村公益性公墓（承担城市公益性公墓建设任务的乡镇经批准可不再建设乡镇示范性农村公益性公墓），实现市、县、乡公益性安葬设施全覆盖。</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落实殡葬改革数字化建设。</w:t>
      </w:r>
      <w:r>
        <w:rPr>
          <w:rFonts w:hint="eastAsia" w:ascii="仿宋" w:hAnsi="仿宋" w:eastAsia="仿宋"/>
          <w:sz w:val="32"/>
          <w:szCs w:val="32"/>
        </w:rPr>
        <w:t>深入推进“互联网+殡葬服务”，优化殡葬管理服务信息平台，加强殡葬服务机构日常信息采集分析。依托全国殡葬政务信息直报系统梳理汇总火化数据及墓位信息，提高殡葬管理信息化水平，实现大数据共通共享。组织开展开封市违规建设墓地专项整治成果巩固提升行动，提升综合治理水平。研究制定出台提高火化率相关文件，加大推进火化政策的落实力度。</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重点推进开封市殡葬服务园区建设。</w:t>
      </w:r>
      <w:r>
        <w:rPr>
          <w:rFonts w:hint="eastAsia" w:ascii="仿宋" w:hAnsi="仿宋" w:eastAsia="仿宋"/>
          <w:sz w:val="32"/>
          <w:szCs w:val="32"/>
        </w:rPr>
        <w:t>加快推进殡葬服务园区基本设施建设，按照高起点、高标准、高质量的要求，推进建设集殡仪馆、殡仪服务中心、公墓（经营性公墓和城市公益性公墓）“三位一体”的殡葬服务园区，保持园区内殡仪馆和公益性公墓的公益属性，完善殡仪服务事项管理制度和殡葬行业服务标准，规范社会资本参与，加大</w:t>
      </w:r>
      <w:r>
        <w:rPr>
          <w:rFonts w:hint="eastAsia" w:ascii="仿宋" w:hAnsi="仿宋" w:eastAsia="仿宋"/>
          <w:strike/>
          <w:sz w:val="32"/>
          <w:szCs w:val="32"/>
        </w:rPr>
        <w:t>对</w:t>
      </w:r>
      <w:r>
        <w:rPr>
          <w:rFonts w:hint="eastAsia" w:ascii="仿宋" w:hAnsi="仿宋" w:eastAsia="仿宋"/>
          <w:sz w:val="32"/>
          <w:szCs w:val="32"/>
        </w:rPr>
        <w:t>市场化殡葬服务监管力度。2022年底前，开封市殡葬服务园区建成并投入使用。</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创新移风易俗殡葬改革。</w:t>
      </w:r>
      <w:r>
        <w:rPr>
          <w:rFonts w:hint="eastAsia" w:ascii="仿宋" w:hAnsi="仿宋" w:eastAsia="仿宋"/>
          <w:sz w:val="32"/>
          <w:szCs w:val="32"/>
        </w:rPr>
        <w:t>整治市区殡葬服务市场乱象，补齐殡葬服务项目短板。做好移风易俗殡葬改革工作，完成“三大任务”，持续提升殡葬服务质量，增加殡葬服务产品种类，满足群众的多元化治丧需求。“十四五”期间，根据物价上涨指数适时提高惠民殡葬补助标准。</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严格殡葬服务管理。</w:t>
      </w:r>
      <w:r>
        <w:rPr>
          <w:rFonts w:hint="eastAsia" w:ascii="仿宋" w:hAnsi="仿宋" w:eastAsia="仿宋"/>
          <w:sz w:val="32"/>
          <w:szCs w:val="32"/>
        </w:rPr>
        <w:t>严格坚守殡葬事业单位的公益属性，禁止任何单位和个人以营利为目的建设和承包公益性安葬设施。严格建立殡葬服务事项管理制度，强化事中、事后监管，引导各类主体规范提供服务。指导殡葬服务机构全面实行收费公示和明码标价制度，严格执行政府定价、政府指导价，保证中低价位殡葬服务和用品足量提供。严格落实属地管理和部门监管责任，规范和加强经营性公墓管理，严厉打击殡葬领域违法违规行为。持续开展殡葬领域突出问题专项整治，疏堵结合、分类施治，严肃整治违规乱建公墓、违规销售超标准墓穴、炒买炒卖墓穴或骨灰格位等问题，依法取缔未经批准建设的公墓，严厉惩戒各种违规行为。加强殡葬用品市场、殡葬服务机构监督管理，坚决查处虚假宣传、以次充好、强制消费、价格欺诈等侵害消费者权益行为</w:t>
      </w:r>
      <w:r>
        <w:rPr>
          <w:rFonts w:hint="eastAsia" w:ascii="仿宋_GB2312" w:eastAsia="仿宋_GB2312"/>
          <w:kern w:val="0"/>
          <w:sz w:val="32"/>
          <w:szCs w:val="32"/>
        </w:rPr>
        <w:t>。</w:t>
      </w:r>
    </w:p>
    <w:tbl>
      <w:tblPr>
        <w:tblStyle w:val="26"/>
        <w:tblW w:w="8192" w:type="dxa"/>
        <w:jc w:val="center"/>
        <w:tblLayout w:type="fixed"/>
        <w:tblCellMar>
          <w:top w:w="0" w:type="dxa"/>
          <w:left w:w="0" w:type="dxa"/>
          <w:bottom w:w="0" w:type="dxa"/>
          <w:right w:w="0" w:type="dxa"/>
        </w:tblCellMar>
      </w:tblPr>
      <w:tblGrid>
        <w:gridCol w:w="8192"/>
      </w:tblGrid>
      <w:tr>
        <w:tblPrEx>
          <w:tblCellMar>
            <w:top w:w="0" w:type="dxa"/>
            <w:left w:w="0" w:type="dxa"/>
            <w:bottom w:w="0" w:type="dxa"/>
            <w:right w:w="0" w:type="dxa"/>
          </w:tblCellMar>
        </w:tblPrEx>
        <w:trPr>
          <w:trHeight w:val="640" w:hRule="atLeast"/>
          <w:jc w:val="center"/>
        </w:trPr>
        <w:tc>
          <w:tcPr>
            <w:tcW w:w="8192"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widowControl/>
              <w:wordWrap w:val="0"/>
              <w:spacing w:line="320" w:lineRule="atLeast"/>
              <w:jc w:val="center"/>
              <w:rPr>
                <w:rFonts w:ascii="黑体" w:hAnsi="黑体" w:eastAsia="黑体"/>
                <w:spacing w:val="8"/>
                <w:kern w:val="0"/>
                <w:sz w:val="24"/>
                <w:szCs w:val="24"/>
              </w:rPr>
            </w:pPr>
            <w:r>
              <w:rPr>
                <w:rFonts w:hint="eastAsia" w:ascii="黑体" w:hAnsi="黑体" w:eastAsia="黑体"/>
                <w:sz w:val="24"/>
                <w:szCs w:val="24"/>
              </w:rPr>
              <w:t>专栏10：殡葬公共服务体系建设计划</w:t>
            </w:r>
          </w:p>
        </w:tc>
      </w:tr>
      <w:tr>
        <w:tblPrEx>
          <w:tblCellMar>
            <w:top w:w="0" w:type="dxa"/>
            <w:left w:w="0" w:type="dxa"/>
            <w:bottom w:w="0" w:type="dxa"/>
            <w:right w:w="0" w:type="dxa"/>
          </w:tblCellMar>
        </w:tblPrEx>
        <w:trPr>
          <w:trHeight w:val="640" w:hRule="atLeast"/>
          <w:jc w:val="center"/>
        </w:trPr>
        <w:tc>
          <w:tcPr>
            <w:tcW w:w="8192"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spacing w:line="360" w:lineRule="auto"/>
              <w:ind w:firstLine="480" w:firstLineChars="200"/>
              <w:rPr>
                <w:rFonts w:ascii="仿宋" w:hAnsi="仿宋" w:eastAsia="仿宋"/>
                <w:sz w:val="24"/>
                <w:szCs w:val="24"/>
              </w:rPr>
            </w:pPr>
            <w:r>
              <w:rPr>
                <w:rFonts w:hint="eastAsia" w:ascii="仿宋" w:hAnsi="仿宋" w:eastAsia="仿宋"/>
                <w:sz w:val="24"/>
                <w:szCs w:val="24"/>
              </w:rPr>
              <w:t>完善殡葬公共服务体系，提升改造公益性殡葬设施，加快补齐殡葬服务设施短板，完善配套设施，建设公益性公墓，支持开封市殡葬服务产业园建设， 2022年开封市、县区、乡镇三所公益性公墓全部投入使用。推动殡葬服务线上线下融合，建设殡葬管理信息服务平台。</w:t>
            </w:r>
          </w:p>
        </w:tc>
      </w:tr>
    </w:tbl>
    <w:p>
      <w:pPr>
        <w:keepNext/>
        <w:keepLines/>
        <w:spacing w:before="312" w:beforeLines="100" w:after="312" w:afterLines="100" w:line="360" w:lineRule="auto"/>
        <w:jc w:val="center"/>
        <w:outlineLvl w:val="1"/>
        <w:rPr>
          <w:rFonts w:ascii="楷体" w:hAnsi="楷体" w:eastAsia="楷体"/>
          <w:b/>
          <w:kern w:val="0"/>
          <w:sz w:val="32"/>
          <w:szCs w:val="32"/>
        </w:rPr>
      </w:pPr>
      <w:bookmarkStart w:id="47" w:name="_Toc14639"/>
      <w:r>
        <w:rPr>
          <w:rFonts w:hint="eastAsia" w:ascii="楷体" w:hAnsi="楷体" w:eastAsia="楷体"/>
          <w:b/>
          <w:kern w:val="0"/>
          <w:sz w:val="32"/>
          <w:szCs w:val="32"/>
        </w:rPr>
        <w:t>第三节 实施地名管理服务水平提升计划</w:t>
      </w:r>
      <w:bookmarkEnd w:id="47"/>
    </w:p>
    <w:p>
      <w:pPr>
        <w:spacing w:line="360" w:lineRule="auto"/>
        <w:ind w:firstLine="643" w:firstLineChars="200"/>
        <w:rPr>
          <w:rFonts w:ascii="仿宋" w:hAnsi="仿宋" w:eastAsia="仿宋"/>
          <w:bCs/>
          <w:sz w:val="32"/>
          <w:szCs w:val="32"/>
        </w:rPr>
      </w:pPr>
      <w:r>
        <w:rPr>
          <w:rFonts w:hint="eastAsia" w:ascii="仿宋" w:hAnsi="仿宋" w:eastAsia="仿宋"/>
          <w:b/>
          <w:sz w:val="32"/>
          <w:szCs w:val="32"/>
        </w:rPr>
        <w:t>加强地名命名更名管理。</w:t>
      </w:r>
      <w:r>
        <w:rPr>
          <w:rFonts w:hint="eastAsia" w:ascii="仿宋" w:hAnsi="仿宋" w:eastAsia="仿宋"/>
          <w:bCs/>
          <w:sz w:val="32"/>
          <w:szCs w:val="32"/>
        </w:rPr>
        <w:t>规范全市地名命名更名工作，全力提升地名公共服务能力，充分发挥地名在促进经济社会协调发展、方便人民群众生产生活、提升城市形象品位、创造良好营商环境、传承优秀地名文化等方面的积极作用。推进市、县两级地名信息库建设，加强对标准地名使用的监督管理，稳妥推进不规范地名清理整治，形成协作共管的工作机制，不断提升地名管理服务水平，使地名管理工作更好地为全市经济社会发展、人民生产生活服务。</w:t>
      </w:r>
    </w:p>
    <w:p>
      <w:pPr>
        <w:spacing w:line="360" w:lineRule="auto"/>
        <w:ind w:firstLine="643" w:firstLineChars="200"/>
        <w:rPr>
          <w:rFonts w:ascii="仿宋" w:hAnsi="仿宋" w:eastAsia="仿宋"/>
          <w:bCs/>
          <w:sz w:val="32"/>
          <w:szCs w:val="32"/>
        </w:rPr>
      </w:pPr>
      <w:r>
        <w:rPr>
          <w:rFonts w:hint="eastAsia" w:ascii="仿宋" w:hAnsi="仿宋" w:eastAsia="仿宋"/>
          <w:b/>
          <w:sz w:val="32"/>
          <w:szCs w:val="32"/>
        </w:rPr>
        <w:t>促进地名管理工作科学化、规范化。</w:t>
      </w:r>
      <w:r>
        <w:rPr>
          <w:rFonts w:hint="eastAsia" w:ascii="仿宋" w:hAnsi="仿宋" w:eastAsia="仿宋"/>
          <w:bCs/>
          <w:sz w:val="32"/>
          <w:szCs w:val="32"/>
        </w:rPr>
        <w:t>编制《开封市城区地名总体规划》，进一步提升开封市地名管理水平，推动全市地名命名和地名文化保护的科学化、系统化和规范化。积极开展地名文化宣传保护，对开封市地名文化遗产实现科学分类、分级和分层保护，推动建立开封市地名文化遗产保护名录，凡纳入名录的地名，未经法定程序不得随意更改。</w:t>
      </w:r>
    </w:p>
    <w:tbl>
      <w:tblPr>
        <w:tblStyle w:val="26"/>
        <w:tblW w:w="8192" w:type="dxa"/>
        <w:jc w:val="center"/>
        <w:tblLayout w:type="fixed"/>
        <w:tblCellMar>
          <w:top w:w="0" w:type="dxa"/>
          <w:left w:w="0" w:type="dxa"/>
          <w:bottom w:w="0" w:type="dxa"/>
          <w:right w:w="0" w:type="dxa"/>
        </w:tblCellMar>
      </w:tblPr>
      <w:tblGrid>
        <w:gridCol w:w="8192"/>
      </w:tblGrid>
      <w:tr>
        <w:tblPrEx>
          <w:tblCellMar>
            <w:top w:w="0" w:type="dxa"/>
            <w:left w:w="0" w:type="dxa"/>
            <w:bottom w:w="0" w:type="dxa"/>
            <w:right w:w="0" w:type="dxa"/>
          </w:tblCellMar>
        </w:tblPrEx>
        <w:trPr>
          <w:trHeight w:val="640" w:hRule="atLeast"/>
          <w:jc w:val="center"/>
        </w:trPr>
        <w:tc>
          <w:tcPr>
            <w:tcW w:w="8192"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widowControl/>
              <w:wordWrap w:val="0"/>
              <w:spacing w:line="320" w:lineRule="atLeast"/>
              <w:jc w:val="center"/>
              <w:rPr>
                <w:rFonts w:ascii="黑体" w:hAnsi="黑体" w:eastAsia="黑体"/>
                <w:spacing w:val="8"/>
                <w:kern w:val="0"/>
                <w:sz w:val="24"/>
                <w:szCs w:val="24"/>
              </w:rPr>
            </w:pPr>
            <w:r>
              <w:rPr>
                <w:rFonts w:hint="eastAsia" w:ascii="黑体" w:hAnsi="黑体" w:eastAsia="黑体"/>
                <w:sz w:val="24"/>
                <w:szCs w:val="24"/>
              </w:rPr>
              <w:t>专栏11：地名管理服务水平提升计划</w:t>
            </w:r>
          </w:p>
        </w:tc>
      </w:tr>
      <w:tr>
        <w:tblPrEx>
          <w:tblCellMar>
            <w:top w:w="0" w:type="dxa"/>
            <w:left w:w="0" w:type="dxa"/>
            <w:bottom w:w="0" w:type="dxa"/>
            <w:right w:w="0" w:type="dxa"/>
          </w:tblCellMar>
        </w:tblPrEx>
        <w:trPr>
          <w:trHeight w:val="640" w:hRule="atLeast"/>
          <w:jc w:val="center"/>
        </w:trPr>
        <w:tc>
          <w:tcPr>
            <w:tcW w:w="8192"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spacing w:line="360" w:lineRule="auto"/>
              <w:ind w:firstLine="480" w:firstLineChars="200"/>
              <w:rPr>
                <w:rFonts w:ascii="仿宋" w:hAnsi="仿宋" w:eastAsia="仿宋" w:cs="仿宋_GB2312"/>
                <w:spacing w:val="8"/>
                <w:kern w:val="0"/>
                <w:sz w:val="24"/>
                <w:szCs w:val="24"/>
              </w:rPr>
            </w:pPr>
            <w:r>
              <w:rPr>
                <w:rFonts w:hint="eastAsia" w:ascii="仿宋" w:hAnsi="仿宋" w:eastAsia="仿宋"/>
                <w:sz w:val="24"/>
                <w:szCs w:val="24"/>
              </w:rPr>
              <w:t>实施地名管理服务水平提升计划，大力发展地名公共服务，编制《开封市城区地名总体规划》，规范地名管理，推动建立开封市地名文化遗产保护名录，构建完备的、规范的地名管理服务体系，促进地名管理工作的数字化、便民化、特色化、一体化。</w:t>
            </w:r>
          </w:p>
        </w:tc>
      </w:tr>
    </w:tbl>
    <w:p>
      <w:pPr>
        <w:keepNext/>
        <w:keepLines/>
        <w:spacing w:before="312" w:beforeLines="100" w:after="312" w:afterLines="100" w:line="360" w:lineRule="auto"/>
        <w:ind w:firstLine="602"/>
        <w:jc w:val="center"/>
        <w:outlineLvl w:val="1"/>
        <w:rPr>
          <w:rFonts w:ascii="楷体" w:hAnsi="楷体" w:eastAsia="楷体"/>
          <w:b/>
          <w:kern w:val="0"/>
          <w:sz w:val="30"/>
          <w:szCs w:val="30"/>
        </w:rPr>
      </w:pPr>
      <w:bookmarkStart w:id="48" w:name="_Toc31492"/>
      <w:r>
        <w:rPr>
          <w:rFonts w:hint="eastAsia" w:ascii="楷体" w:hAnsi="楷体" w:eastAsia="楷体"/>
          <w:b/>
          <w:kern w:val="0"/>
          <w:sz w:val="30"/>
          <w:szCs w:val="30"/>
        </w:rPr>
        <w:t>第四节 推动康复辅助器具产业发展</w:t>
      </w:r>
      <w:bookmarkEnd w:id="48"/>
    </w:p>
    <w:p>
      <w:pPr>
        <w:spacing w:line="590" w:lineRule="exact"/>
        <w:ind w:firstLine="643" w:firstLineChars="200"/>
        <w:rPr>
          <w:rFonts w:eastAsia="仿宋_GB2312"/>
          <w:sz w:val="30"/>
          <w:szCs w:val="30"/>
        </w:rPr>
      </w:pPr>
      <w:r>
        <w:rPr>
          <w:rFonts w:hint="eastAsia" w:ascii="仿宋" w:hAnsi="仿宋" w:eastAsia="仿宋" w:cs="宋体"/>
          <w:b/>
          <w:sz w:val="32"/>
          <w:szCs w:val="32"/>
        </w:rPr>
        <w:t>争创康复辅助器具产业国家综合创新试点。</w:t>
      </w:r>
      <w:r>
        <w:rPr>
          <w:rFonts w:hint="eastAsia" w:ascii="仿宋" w:hAnsi="仿宋" w:eastAsia="仿宋"/>
          <w:bCs/>
          <w:sz w:val="32"/>
          <w:szCs w:val="32"/>
        </w:rPr>
        <w:t>联合相关部门支持有条件的县区积极申报国家康复辅助器具产业综合创新试点，打造康复辅助器具产业园区或基地，推动康复辅助器具产业集聚发展。加大政策支持和资金投入，进一步扶持康复辅助器具产业发展，为加快发展康复辅助器具产业积累经验提供示范，将创新试点的标准作为开封市探索发展康复辅助器具产业的目标和方向。</w:t>
      </w:r>
    </w:p>
    <w:p>
      <w:pPr>
        <w:spacing w:line="590" w:lineRule="exact"/>
        <w:ind w:firstLine="643" w:firstLineChars="200"/>
        <w:rPr>
          <w:sz w:val="32"/>
          <w:szCs w:val="32"/>
        </w:rPr>
      </w:pPr>
      <w:r>
        <w:rPr>
          <w:rFonts w:hint="eastAsia" w:ascii="仿宋" w:hAnsi="仿宋" w:eastAsia="仿宋" w:cs="宋体"/>
          <w:b/>
          <w:sz w:val="32"/>
          <w:szCs w:val="32"/>
        </w:rPr>
        <w:t>推动康复辅助器具产业提质升级。</w:t>
      </w:r>
      <w:r>
        <w:rPr>
          <w:rFonts w:hint="eastAsia" w:ascii="仿宋" w:hAnsi="仿宋" w:eastAsia="仿宋"/>
          <w:bCs/>
          <w:sz w:val="32"/>
          <w:szCs w:val="32"/>
        </w:rPr>
        <w:t>积极探索康复辅助器具产业发展模式，不断提升康复辅助器具品质，促进与养老服务、残疾人服务等相关产业融合发展。加大康复辅助器具产业科研力度，壮大创新人才队伍，统筹企业、高校、科研院所等创新资源，搭建康复辅助器具科技创新平台和基础共性技术研发平台，打造一批知名自主品牌和优势产业群。开展康复辅助器具社区租赁服务试点，建立和完善社区租赁服务网络体系。推动健全支付保障体系，研究制定基本型康复辅助器具补贴政策，编制基本型康复辅助器具补贴产品目录。鼓励有条件的地方为失能、重残等特殊困难群体配置康复辅助器具，完善康复辅助器具配置服务体系。</w:t>
      </w:r>
    </w:p>
    <w:tbl>
      <w:tblPr>
        <w:tblStyle w:val="26"/>
        <w:tblW w:w="8192" w:type="dxa"/>
        <w:jc w:val="center"/>
        <w:tblLayout w:type="fixed"/>
        <w:tblCellMar>
          <w:top w:w="0" w:type="dxa"/>
          <w:left w:w="0" w:type="dxa"/>
          <w:bottom w:w="0" w:type="dxa"/>
          <w:right w:w="0" w:type="dxa"/>
        </w:tblCellMar>
      </w:tblPr>
      <w:tblGrid>
        <w:gridCol w:w="8192"/>
      </w:tblGrid>
      <w:tr>
        <w:tblPrEx>
          <w:tblCellMar>
            <w:top w:w="0" w:type="dxa"/>
            <w:left w:w="0" w:type="dxa"/>
            <w:bottom w:w="0" w:type="dxa"/>
            <w:right w:w="0" w:type="dxa"/>
          </w:tblCellMar>
        </w:tblPrEx>
        <w:trPr>
          <w:trHeight w:val="640" w:hRule="atLeast"/>
          <w:jc w:val="center"/>
        </w:trPr>
        <w:tc>
          <w:tcPr>
            <w:tcW w:w="8192"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widowControl/>
              <w:wordWrap w:val="0"/>
              <w:spacing w:line="320" w:lineRule="atLeast"/>
              <w:jc w:val="center"/>
              <w:rPr>
                <w:rFonts w:ascii="黑体" w:hAnsi="黑体" w:eastAsia="黑体"/>
                <w:spacing w:val="8"/>
                <w:kern w:val="0"/>
                <w:sz w:val="24"/>
                <w:szCs w:val="24"/>
              </w:rPr>
            </w:pPr>
            <w:r>
              <w:rPr>
                <w:rFonts w:hint="eastAsia" w:ascii="黑体" w:hAnsi="黑体" w:eastAsia="黑体"/>
                <w:sz w:val="24"/>
                <w:szCs w:val="24"/>
              </w:rPr>
              <w:t>专栏12：</w:t>
            </w:r>
            <w:r>
              <w:rPr>
                <w:rFonts w:hint="eastAsia" w:ascii="黑体" w:hAnsi="黑体" w:eastAsia="黑体"/>
                <w:sz w:val="24"/>
                <w:szCs w:val="24"/>
                <w:shd w:val="clear" w:color="auto" w:fill="FFFFFF"/>
              </w:rPr>
              <w:t>开封市康复辅具产业园</w:t>
            </w:r>
          </w:p>
        </w:tc>
      </w:tr>
      <w:tr>
        <w:tblPrEx>
          <w:tblCellMar>
            <w:top w:w="0" w:type="dxa"/>
            <w:left w:w="0" w:type="dxa"/>
            <w:bottom w:w="0" w:type="dxa"/>
            <w:right w:w="0" w:type="dxa"/>
          </w:tblCellMar>
        </w:tblPrEx>
        <w:trPr>
          <w:trHeight w:val="640" w:hRule="atLeast"/>
          <w:jc w:val="center"/>
        </w:trPr>
        <w:tc>
          <w:tcPr>
            <w:tcW w:w="8192"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widowControl/>
              <w:spacing w:line="360" w:lineRule="auto"/>
              <w:ind w:firstLine="480" w:firstLineChars="200"/>
              <w:rPr>
                <w:rFonts w:ascii="仿宋" w:hAnsi="仿宋" w:eastAsia="仿宋" w:cs="仿宋_GB2312"/>
                <w:spacing w:val="8"/>
                <w:kern w:val="0"/>
                <w:sz w:val="24"/>
                <w:szCs w:val="24"/>
              </w:rPr>
            </w:pPr>
            <w:r>
              <w:rPr>
                <w:rFonts w:hint="eastAsia" w:ascii="仿宋" w:hAnsi="仿宋" w:eastAsia="仿宋"/>
                <w:sz w:val="24"/>
                <w:szCs w:val="24"/>
                <w:shd w:val="clear" w:color="auto" w:fill="FFFFFF"/>
              </w:rPr>
              <w:t>按照“适度超前、特色鲜明、分步实施”原则支持建设开封市康复辅具产业园，主要发展适老产品、智能辅具、医疗及康复设备生产，加快实施基础配套建设，提升要素保障能力，增强园区承载能力。重点推进康复辅助器具产业项目建设，加强中、高端康复辅具、智慧医养产品的研发与创新，形成康复辅具设备研发、生产、科技创新以及服务体系。</w:t>
            </w:r>
          </w:p>
        </w:tc>
      </w:tr>
    </w:tbl>
    <w:p>
      <w:pPr>
        <w:keepNext/>
        <w:keepLines/>
        <w:spacing w:before="624" w:beforeLines="200" w:after="624" w:afterLines="200" w:line="360" w:lineRule="auto"/>
        <w:jc w:val="center"/>
        <w:outlineLvl w:val="0"/>
        <w:rPr>
          <w:rFonts w:ascii="黑体" w:hAnsi="黑体" w:eastAsia="黑体"/>
          <w:kern w:val="44"/>
          <w:sz w:val="32"/>
          <w:szCs w:val="32"/>
        </w:rPr>
      </w:pPr>
      <w:bookmarkStart w:id="49" w:name="_Toc9175"/>
      <w:r>
        <w:rPr>
          <w:rFonts w:hint="eastAsia" w:ascii="黑体" w:hAnsi="黑体" w:eastAsia="黑体"/>
          <w:kern w:val="44"/>
          <w:sz w:val="32"/>
          <w:szCs w:val="32"/>
        </w:rPr>
        <w:t>第七章 打造未成年人保护开封品牌</w:t>
      </w:r>
      <w:bookmarkEnd w:id="49"/>
    </w:p>
    <w:p>
      <w:pPr>
        <w:ind w:firstLine="560"/>
        <w:rPr>
          <w:rFonts w:ascii="仿宋" w:hAnsi="仿宋" w:eastAsia="仿宋"/>
          <w:sz w:val="32"/>
          <w:szCs w:val="32"/>
        </w:rPr>
      </w:pPr>
      <w:r>
        <w:rPr>
          <w:rFonts w:hint="eastAsia" w:ascii="仿宋" w:hAnsi="仿宋" w:eastAsia="仿宋" w:cs="宋体"/>
          <w:sz w:val="32"/>
          <w:szCs w:val="32"/>
        </w:rPr>
        <w:t>坚持最有利于未成年人（儿童）原则，完善护苗成长环境，探索形成政府主导、社会支持、多方参与的儿童关爱工作机制。加强困境儿童分类保障，健全农村留守儿童关爱服务体系，提升基层未成年人救助保护能力。加强儿童救助领域信息化管理，强化运用“金民工程”信息系统，认真开展儿童保障信息动态管理，切实提高儿童精准关爱服务水平和工作实效。</w:t>
      </w:r>
    </w:p>
    <w:p>
      <w:pPr>
        <w:keepNext/>
        <w:keepLines/>
        <w:spacing w:before="312" w:beforeLines="100" w:after="312" w:afterLines="100" w:line="360" w:lineRule="auto"/>
        <w:ind w:firstLine="602"/>
        <w:jc w:val="center"/>
        <w:outlineLvl w:val="1"/>
        <w:rPr>
          <w:rFonts w:ascii="楷体" w:hAnsi="楷体" w:eastAsia="楷体"/>
          <w:b/>
          <w:kern w:val="0"/>
          <w:sz w:val="32"/>
          <w:szCs w:val="32"/>
        </w:rPr>
      </w:pPr>
      <w:bookmarkStart w:id="50" w:name="_Toc25182"/>
      <w:r>
        <w:rPr>
          <w:rFonts w:hint="eastAsia" w:ascii="楷体" w:hAnsi="楷体" w:eastAsia="楷体"/>
          <w:b/>
          <w:kern w:val="0"/>
          <w:sz w:val="32"/>
          <w:szCs w:val="32"/>
        </w:rPr>
        <w:t>第一节 加快儿童福利事业发展</w:t>
      </w:r>
      <w:bookmarkEnd w:id="50"/>
    </w:p>
    <w:p>
      <w:pPr>
        <w:ind w:firstLine="640"/>
        <w:rPr>
          <w:rFonts w:ascii="仿宋" w:hAnsi="仿宋" w:eastAsia="仿宋"/>
          <w:sz w:val="32"/>
          <w:szCs w:val="32"/>
        </w:rPr>
      </w:pPr>
      <w:r>
        <w:rPr>
          <w:rFonts w:hint="eastAsia" w:ascii="仿宋" w:hAnsi="仿宋" w:eastAsia="仿宋" w:cs="宋体"/>
          <w:b/>
          <w:sz w:val="32"/>
          <w:szCs w:val="32"/>
        </w:rPr>
        <w:t>强化困境儿童分类保障。</w:t>
      </w:r>
      <w:r>
        <w:rPr>
          <w:rFonts w:hint="eastAsia" w:ascii="仿宋" w:hAnsi="仿宋" w:eastAsia="仿宋" w:cs="宋体"/>
          <w:sz w:val="32"/>
          <w:szCs w:val="32"/>
        </w:rPr>
        <w:t>细化困境儿童类型，精准确定困境儿童种类、标准，落实困境儿童分类保障政策。完善包括监测预防、强制报告、应急处置、评估分类、帮扶监护在内的困境儿童救助保护机制。压实各级各部门主体责任，进一步完善因突发事件影响造成的监护缺失儿童救助保护制度措施。加强对困难家庭的重病、重残儿童生活保障和救助工作。动员引导企业、公益慈善等社会力量参与困境儿童保障工作，营造全社会关心关爱困境儿童的良好氛围。</w:t>
      </w:r>
    </w:p>
    <w:p>
      <w:pPr>
        <w:ind w:firstLine="640"/>
        <w:rPr>
          <w:rFonts w:ascii="仿宋" w:hAnsi="仿宋" w:eastAsia="仿宋" w:cs="宋体"/>
          <w:sz w:val="32"/>
          <w:szCs w:val="32"/>
        </w:rPr>
      </w:pPr>
      <w:r>
        <w:rPr>
          <w:rFonts w:hint="eastAsia" w:ascii="仿宋" w:hAnsi="仿宋" w:eastAsia="仿宋" w:cs="宋体"/>
          <w:b/>
          <w:sz w:val="32"/>
          <w:szCs w:val="32"/>
        </w:rPr>
        <w:t>完善帮扶孤儿和事实无人抚养儿童福利制度。</w:t>
      </w:r>
      <w:r>
        <w:rPr>
          <w:rFonts w:hint="eastAsia" w:ascii="仿宋" w:hAnsi="仿宋" w:eastAsia="仿宋" w:cs="宋体"/>
          <w:sz w:val="32"/>
          <w:szCs w:val="32"/>
        </w:rPr>
        <w:t>开展便民利民服务，提高精准化保障、精细化服务水平，确保符合条件的困境儿童应保尽保。持续实施“福彩圆梦·孤儿助学工程”和“明天计划”医疗救治项目。推动建立孤儿和事实无人抚养儿童基本生活保障标准动态调整机制，保障孤儿及事实无人抚养儿童生活水平持续提升。推动补助和保障标准与经济社会发展水平相匹配、与相关社会福利标准有效衔接，确保保障率达到100%。</w:t>
      </w:r>
    </w:p>
    <w:p>
      <w:pPr>
        <w:overflowPunct w:val="0"/>
        <w:topLinePunct/>
        <w:spacing w:line="560" w:lineRule="exact"/>
        <w:ind w:firstLine="643" w:firstLineChars="200"/>
        <w:rPr>
          <w:rFonts w:ascii="仿宋_GB2312" w:eastAsia="黑体" w:cs="宋体"/>
          <w:sz w:val="32"/>
          <w:szCs w:val="32"/>
        </w:rPr>
      </w:pPr>
      <w:r>
        <w:rPr>
          <w:rFonts w:hint="eastAsia" w:ascii="仿宋" w:hAnsi="仿宋" w:eastAsia="仿宋" w:cs="宋体"/>
          <w:b/>
          <w:sz w:val="32"/>
          <w:szCs w:val="32"/>
        </w:rPr>
        <w:t>推进儿童福利机构优化提质</w:t>
      </w:r>
      <w:r>
        <w:rPr>
          <w:rFonts w:hint="eastAsia" w:ascii="仿宋" w:hAnsi="仿宋" w:eastAsia="仿宋" w:cs="宋体"/>
          <w:sz w:val="32"/>
          <w:szCs w:val="32"/>
        </w:rPr>
        <w:t>。重点支持开封市儿童福利院项目建设，加强儿童福利机构基础设施和配套设施建设，提升孤弃儿童集中养育水平。加强儿童福利机构制度建设，完善规范各项服务管理措施，充分发挥儿童福利机构对社区和家庭的示范、指导、辐射作用，向事实无人抚养儿童提供临时照料、关爱保护等服务，鼓励向社区其他困境儿童及其家庭提供康复服务、特殊教育、精神慰藉、定期探访、宣传培训等服务。至2025年，力争将开封市儿童福利院打造为集“养育、康复、教育”为一体的全国知名社会福利园区。</w:t>
      </w:r>
    </w:p>
    <w:p>
      <w:pPr>
        <w:keepNext/>
        <w:keepLines/>
        <w:spacing w:before="312" w:beforeLines="100" w:after="312" w:afterLines="100" w:line="360" w:lineRule="auto"/>
        <w:ind w:firstLine="602"/>
        <w:jc w:val="center"/>
        <w:outlineLvl w:val="1"/>
        <w:rPr>
          <w:rFonts w:ascii="楷体" w:hAnsi="楷体" w:eastAsia="楷体"/>
          <w:b/>
          <w:kern w:val="0"/>
          <w:sz w:val="32"/>
          <w:szCs w:val="32"/>
        </w:rPr>
      </w:pPr>
      <w:bookmarkStart w:id="51" w:name="_Toc12283"/>
      <w:r>
        <w:rPr>
          <w:rFonts w:hint="eastAsia" w:ascii="楷体" w:hAnsi="楷体" w:eastAsia="楷体"/>
          <w:b/>
          <w:kern w:val="0"/>
          <w:sz w:val="32"/>
          <w:szCs w:val="32"/>
        </w:rPr>
        <w:t>第二节 完善未成年人关爱机制</w:t>
      </w:r>
      <w:bookmarkEnd w:id="51"/>
    </w:p>
    <w:p>
      <w:pPr>
        <w:spacing w:line="360" w:lineRule="auto"/>
        <w:ind w:firstLine="643" w:firstLineChars="200"/>
        <w:rPr>
          <w:rFonts w:ascii="仿宋" w:hAnsi="仿宋" w:eastAsia="仿宋" w:cs="宋体"/>
          <w:sz w:val="32"/>
          <w:szCs w:val="32"/>
        </w:rPr>
      </w:pPr>
      <w:r>
        <w:rPr>
          <w:rFonts w:hint="eastAsia" w:ascii="仿宋" w:hAnsi="仿宋" w:eastAsia="仿宋" w:cs="宋体"/>
          <w:b/>
          <w:bCs/>
          <w:sz w:val="32"/>
          <w:szCs w:val="32"/>
        </w:rPr>
        <w:t>加强未成年人关爱保护。</w:t>
      </w:r>
      <w:r>
        <w:rPr>
          <w:rFonts w:hint="eastAsia" w:ascii="仿宋" w:hAnsi="仿宋" w:eastAsia="仿宋" w:cs="宋体"/>
          <w:sz w:val="32"/>
          <w:szCs w:val="32"/>
        </w:rPr>
        <w:t>贯彻落实《中华人民共和国民法典》和《中华人民共和国未成年人保护法》，</w:t>
      </w:r>
      <w:r>
        <w:rPr>
          <w:rFonts w:hint="eastAsia" w:ascii="仿宋" w:hAnsi="仿宋" w:eastAsia="仿宋" w:cs="宋体"/>
          <w:sz w:val="32"/>
          <w:szCs w:val="32"/>
          <w:lang w:eastAsia="zh-CN"/>
        </w:rPr>
        <w:t>落实</w:t>
      </w:r>
      <w:r>
        <w:rPr>
          <w:rFonts w:hint="eastAsia" w:ascii="仿宋" w:hAnsi="仿宋" w:eastAsia="仿宋" w:cs="宋体"/>
          <w:sz w:val="32"/>
          <w:szCs w:val="32"/>
        </w:rPr>
        <w:t>以“家庭监护为主体、社会监护为补充、国家监护为兜底”的监护制度，打造“家庭、社会、政府”三位一体的未成年人保护工作格局。加大未成年人保护工作宣传力度，普及法律法规知识，强化家庭监护主体责任，动员和引导社会各界关心关注和积极参与未成年人保护工作，推动形成党委政府领导、民政部门充分发挥牵头作用、相关部门各司其责、社会力量广泛参与的未成年人保护工作格局。</w:t>
      </w:r>
    </w:p>
    <w:p>
      <w:pPr>
        <w:spacing w:line="580" w:lineRule="exact"/>
        <w:ind w:firstLine="640"/>
        <w:rPr>
          <w:rFonts w:ascii="仿宋" w:hAnsi="仿宋" w:eastAsia="仿宋" w:cs="宋体"/>
          <w:sz w:val="32"/>
          <w:szCs w:val="32"/>
        </w:rPr>
      </w:pPr>
      <w:r>
        <w:rPr>
          <w:rFonts w:hint="eastAsia" w:ascii="仿宋" w:hAnsi="仿宋" w:eastAsia="仿宋" w:cs="宋体"/>
          <w:b/>
          <w:bCs/>
          <w:sz w:val="32"/>
          <w:szCs w:val="32"/>
        </w:rPr>
        <w:t>加强未成年人保护机构建设。</w:t>
      </w:r>
      <w:r>
        <w:rPr>
          <w:rFonts w:hint="eastAsia" w:ascii="仿宋" w:hAnsi="仿宋" w:eastAsia="仿宋" w:cs="宋体"/>
          <w:sz w:val="32"/>
          <w:szCs w:val="32"/>
        </w:rPr>
        <w:t>加快推进未成年人救助保护机构标准化、规范化建设，支持开封市未成年人保护中心改造升级，推动县区未成年人救助保护机构全覆盖。推动乡镇（街道）设立未成年人保护工作站，负责未成年人保护工作，实现未成年人保护工作站及未成年人保护工作专干全覆盖。推动村（居）委会设立专人专岗，做好未成年人保护工作。加大村（居）儿童主任培训力度，全面提升专业化水平。积极引导村（居）委会、社会组织、社会工作者和志愿者开展有利于未成年人健康成长的社会活动和服务。做好和县区儿童福利机构与未成年人救助保护机构资源整合，至2022年，力争兰考县、杞县、通许县、尉氏县、祥符区全部建成一所未成年人保护中心。</w:t>
      </w:r>
    </w:p>
    <w:p>
      <w:pPr>
        <w:spacing w:after="120"/>
        <w:ind w:firstLine="626"/>
        <w:rPr>
          <w:rFonts w:ascii="仿宋" w:hAnsi="仿宋" w:eastAsia="仿宋" w:cs="宋体"/>
          <w:sz w:val="32"/>
          <w:szCs w:val="32"/>
        </w:rPr>
      </w:pPr>
      <w:r>
        <w:rPr>
          <w:rFonts w:hint="eastAsia" w:ascii="仿宋" w:hAnsi="仿宋" w:eastAsia="仿宋" w:cs="宋体"/>
          <w:b/>
          <w:bCs/>
          <w:sz w:val="32"/>
          <w:szCs w:val="32"/>
        </w:rPr>
        <w:t>加强儿童收养登记管理。</w:t>
      </w:r>
      <w:r>
        <w:rPr>
          <w:rFonts w:hint="eastAsia" w:ascii="仿宋" w:hAnsi="仿宋" w:eastAsia="仿宋" w:cs="宋体"/>
          <w:sz w:val="32"/>
          <w:szCs w:val="32"/>
        </w:rPr>
        <w:t>进一步完善儿童收养服务机制，统筹国内收养和华侨、港澳台收养工作，健全完善儿童收养登记制度体系，保障被收养儿童合法权益。规范收养程序，优化提升收养登记服务，改进规范收养登记档案管理。全面推进实施收养评估制度，完善收养评估标准体系，提高收养工作专业化、规范化水平，维护收养关系当事人合法权利。探索收养工作部门协同机制，协商处置收养疑难问题。推进涉外收养与捐赠脱钩，严格按照相关规定管理使用捐赠资金。推动收养登记信息化建设，加大收养后跟踪服务力度。</w:t>
      </w:r>
    </w:p>
    <w:p>
      <w:pPr>
        <w:keepNext/>
        <w:keepLines/>
        <w:spacing w:before="312" w:beforeLines="100" w:after="312" w:afterLines="100" w:line="360" w:lineRule="auto"/>
        <w:ind w:firstLine="602"/>
        <w:jc w:val="center"/>
        <w:outlineLvl w:val="1"/>
        <w:rPr>
          <w:rFonts w:ascii="方正小标宋简体" w:hAnsi="方正小标宋简体" w:eastAsia="方正小标宋简体"/>
          <w:b/>
          <w:bCs/>
          <w:kern w:val="0"/>
          <w:sz w:val="32"/>
          <w:szCs w:val="32"/>
        </w:rPr>
      </w:pPr>
      <w:bookmarkStart w:id="52" w:name="_Toc20221"/>
      <w:r>
        <w:rPr>
          <w:rFonts w:hint="eastAsia" w:ascii="楷体" w:hAnsi="楷体" w:eastAsia="楷体"/>
          <w:b/>
          <w:kern w:val="0"/>
          <w:sz w:val="32"/>
          <w:szCs w:val="32"/>
        </w:rPr>
        <w:t>第三节 加强农村留守儿童、妇女关爱服务</w:t>
      </w:r>
      <w:bookmarkEnd w:id="52"/>
    </w:p>
    <w:p>
      <w:pPr>
        <w:ind w:firstLine="626"/>
        <w:rPr>
          <w:rFonts w:ascii="仿宋" w:hAnsi="仿宋" w:eastAsia="仿宋" w:cs="宋体"/>
          <w:sz w:val="32"/>
          <w:szCs w:val="32"/>
        </w:rPr>
      </w:pPr>
      <w:r>
        <w:rPr>
          <w:rFonts w:hint="eastAsia" w:ascii="仿宋" w:hAnsi="仿宋" w:eastAsia="仿宋" w:cs="宋体"/>
          <w:b/>
          <w:bCs/>
          <w:sz w:val="32"/>
          <w:szCs w:val="32"/>
        </w:rPr>
        <w:t>加强农村留守儿童关爱服务。</w:t>
      </w:r>
      <w:r>
        <w:rPr>
          <w:rFonts w:hint="eastAsia" w:ascii="仿宋" w:hAnsi="仿宋" w:eastAsia="仿宋" w:cs="宋体"/>
          <w:sz w:val="32"/>
          <w:szCs w:val="32"/>
        </w:rPr>
        <w:t>加强农村留守儿童动态信息化管理，为农村留守儿童精准化管理、个性化服务提供数据支撑。健全农村留守儿童监护指导制度措施，关爱农村留守儿童心理健康，督促指导农村留守儿童监护人依法履行监护职责。推动因外出务工等原因在一定期限内不能完全履行监护职责的父母或其他监护人依法确定被委托照护人，指导其签订书面照护协议。指导村（居）委会有效履行强制报告、预防干预等职责。实施村级儿童之家建设计划，明确建设标准、管理规范、资金支持等措施。积极引导社会力量参与农村留守儿童关爱服务，打造一批具有社会影响力的关爱服务慈善项目。</w:t>
      </w:r>
    </w:p>
    <w:p>
      <w:pPr>
        <w:spacing w:line="580" w:lineRule="exact"/>
        <w:ind w:firstLine="640"/>
        <w:rPr>
          <w:rFonts w:ascii="仿宋" w:hAnsi="仿宋" w:eastAsia="仿宋" w:cs="宋体"/>
          <w:sz w:val="32"/>
          <w:szCs w:val="32"/>
        </w:rPr>
      </w:pPr>
      <w:r>
        <w:rPr>
          <w:rFonts w:hint="eastAsia" w:ascii="仿宋" w:hAnsi="仿宋" w:eastAsia="仿宋" w:cs="宋体"/>
          <w:b/>
          <w:bCs/>
          <w:sz w:val="32"/>
          <w:szCs w:val="32"/>
        </w:rPr>
        <w:t>关爱农村留守妇女。</w:t>
      </w:r>
      <w:r>
        <w:rPr>
          <w:rFonts w:hint="eastAsia" w:ascii="仿宋" w:hAnsi="仿宋" w:eastAsia="仿宋" w:cs="宋体"/>
          <w:sz w:val="32"/>
          <w:szCs w:val="32"/>
        </w:rPr>
        <w:t>贯彻民政部等部门《关于加强农村留守妇女关爱服务工作的意见》，推进进一步完善农村留守妇女关爱服务体系、健全工作机制、提升关爱服务能力，特别是结合本地实际，面向有困难、有需求的农村留守妇女提供相应关爱服务。完善农村留守妇女关爱服务制度体系，将符合条件的农村留守妇女家庭纳入最低生活保障、临时救助、残疾人“两项补贴”等社会救助范围，做到应保尽保。引导支持社会组织和慈善力量为困难农村留守妇女及其家庭开展相关帮扶公益活动和公益项目。通过政府购买服务等方式推进专业社会工作服务机构、志愿服务组织为有需求的农村留守妇女开展心理疏导、精神慰藉等专业服务，支持具备资质的各类组织开展针对农村留守妇女的专业精神关爱服务。引导农村留守妇女在基层社会治理中积极作为，鼓励支持农村留守妇女广泛参与村民委员会选举和村民议事会、妇女议事会等社区议事协商活动。有效发挥农村留守妇女主体作用，引导农村留守妇女关爱农村留守儿童、留守老年人，更好地发挥其在保护儿童、关爱老年人、预防和打击侵害女童违法犯罪行为方面的积极作用。</w:t>
      </w:r>
    </w:p>
    <w:p>
      <w:pPr>
        <w:ind w:firstLine="643" w:firstLineChars="200"/>
        <w:rPr>
          <w:rFonts w:ascii="仿宋" w:hAnsi="仿宋" w:eastAsia="仿宋"/>
          <w:sz w:val="32"/>
          <w:szCs w:val="32"/>
        </w:rPr>
      </w:pPr>
      <w:r>
        <w:rPr>
          <w:rFonts w:hint="eastAsia" w:ascii="仿宋" w:hAnsi="仿宋" w:eastAsia="仿宋"/>
          <w:b/>
          <w:bCs/>
          <w:sz w:val="32"/>
          <w:szCs w:val="32"/>
        </w:rPr>
        <w:t>压实家庭主体未成年人监护责任。</w:t>
      </w:r>
      <w:r>
        <w:rPr>
          <w:rFonts w:hint="eastAsia" w:ascii="仿宋" w:hAnsi="仿宋" w:eastAsia="仿宋"/>
          <w:sz w:val="32"/>
          <w:szCs w:val="32"/>
        </w:rPr>
        <w:t>按照“家庭尽责、政府主导、社会参与”的原则，持续巩固和强化家庭在保障未成年人生存和发展中的主体责任，加强家庭教育指导、监督、帮扶，提升家庭监护能力。建立监护评估机制，加强危机干预和家庭监护能力评估体系建设，有效减少出现监护不当引发的未成年人权益受损现象。指导村（居）委会等组织及时报告和处置未成年人的父母或者其他监护人侵害未成年人合法权益事件。配合相关部门加大对不依法履行监护义务的未成年人父母及其他监护人处置力度。</w:t>
      </w:r>
    </w:p>
    <w:tbl>
      <w:tblPr>
        <w:tblStyle w:val="26"/>
        <w:tblW w:w="8192" w:type="dxa"/>
        <w:jc w:val="center"/>
        <w:tblLayout w:type="fixed"/>
        <w:tblCellMar>
          <w:top w:w="0" w:type="dxa"/>
          <w:left w:w="0" w:type="dxa"/>
          <w:bottom w:w="0" w:type="dxa"/>
          <w:right w:w="0" w:type="dxa"/>
        </w:tblCellMar>
      </w:tblPr>
      <w:tblGrid>
        <w:gridCol w:w="8192"/>
      </w:tblGrid>
      <w:tr>
        <w:tblPrEx>
          <w:tblCellMar>
            <w:top w:w="0" w:type="dxa"/>
            <w:left w:w="0" w:type="dxa"/>
            <w:bottom w:w="0" w:type="dxa"/>
            <w:right w:w="0" w:type="dxa"/>
          </w:tblCellMar>
        </w:tblPrEx>
        <w:trPr>
          <w:trHeight w:val="640" w:hRule="atLeast"/>
          <w:jc w:val="center"/>
        </w:trPr>
        <w:tc>
          <w:tcPr>
            <w:tcW w:w="8192"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widowControl/>
              <w:wordWrap w:val="0"/>
              <w:spacing w:line="320" w:lineRule="atLeast"/>
              <w:jc w:val="center"/>
              <w:rPr>
                <w:rFonts w:ascii="黑体" w:hAnsi="黑体" w:eastAsia="黑体"/>
                <w:spacing w:val="8"/>
                <w:kern w:val="0"/>
                <w:sz w:val="24"/>
                <w:szCs w:val="24"/>
              </w:rPr>
            </w:pPr>
            <w:bookmarkStart w:id="53" w:name="_Hlk86080973"/>
            <w:r>
              <w:rPr>
                <w:rFonts w:hint="eastAsia" w:ascii="黑体" w:hAnsi="黑体" w:eastAsia="黑体" w:cs="宋体"/>
                <w:sz w:val="24"/>
                <w:szCs w:val="24"/>
              </w:rPr>
              <w:t>专栏</w:t>
            </w:r>
            <w:bookmarkEnd w:id="53"/>
            <w:r>
              <w:rPr>
                <w:rFonts w:hint="eastAsia" w:ascii="黑体" w:hAnsi="黑体" w:eastAsia="黑体" w:cs="宋体"/>
                <w:sz w:val="24"/>
                <w:szCs w:val="24"/>
              </w:rPr>
              <w:t>13：儿童福利提质计划</w:t>
            </w:r>
          </w:p>
        </w:tc>
      </w:tr>
      <w:tr>
        <w:tblPrEx>
          <w:tblCellMar>
            <w:top w:w="0" w:type="dxa"/>
            <w:left w:w="0" w:type="dxa"/>
            <w:bottom w:w="0" w:type="dxa"/>
            <w:right w:w="0" w:type="dxa"/>
          </w:tblCellMar>
        </w:tblPrEx>
        <w:trPr>
          <w:trHeight w:val="640" w:hRule="atLeast"/>
          <w:jc w:val="center"/>
        </w:trPr>
        <w:tc>
          <w:tcPr>
            <w:tcW w:w="8192"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spacing w:line="360" w:lineRule="auto"/>
              <w:ind w:firstLine="482" w:firstLineChars="200"/>
              <w:rPr>
                <w:rFonts w:ascii="仿宋" w:hAnsi="仿宋" w:eastAsia="仿宋"/>
                <w:sz w:val="24"/>
                <w:szCs w:val="24"/>
              </w:rPr>
            </w:pPr>
            <w:r>
              <w:rPr>
                <w:rFonts w:hint="eastAsia" w:ascii="仿宋" w:hAnsi="仿宋" w:eastAsia="仿宋" w:cs="宋体"/>
                <w:b/>
                <w:bCs/>
                <w:sz w:val="24"/>
                <w:szCs w:val="24"/>
              </w:rPr>
              <w:t>1.强化儿童信息化管理行动。</w:t>
            </w:r>
            <w:r>
              <w:rPr>
                <w:rFonts w:hint="eastAsia" w:ascii="仿宋" w:hAnsi="仿宋" w:eastAsia="仿宋" w:cs="宋体"/>
                <w:sz w:val="24"/>
                <w:szCs w:val="24"/>
              </w:rPr>
              <w:t>加强儿童救助领域信息化管理，运用“金民工程”信息系统，加快开封市各县区儿童工作队伍和特殊儿童数据录入，认真开展儿童保障信息动态管理。建</w:t>
            </w:r>
            <w:r>
              <w:rPr>
                <w:rFonts w:hint="eastAsia" w:ascii="仿宋" w:hAnsi="仿宋" w:eastAsia="仿宋"/>
                <w:sz w:val="24"/>
                <w:szCs w:val="24"/>
              </w:rPr>
              <w:t>立儿童收养登记台账，健全完善儿童收养登记制度体系，统筹登记收养人信息，强化收养后儿童信息追踪登记，保障被收养儿童合法权益。加强农村留守儿童动态信息化管理，为农村留守儿童精准化管理、个性化服务提供数据支撑。</w:t>
            </w:r>
          </w:p>
          <w:p>
            <w:pPr>
              <w:spacing w:line="360" w:lineRule="auto"/>
              <w:ind w:firstLine="482" w:firstLineChars="200"/>
              <w:rPr>
                <w:rFonts w:ascii="仿宋" w:hAnsi="仿宋" w:eastAsia="仿宋" w:cs="宋体"/>
                <w:sz w:val="24"/>
                <w:szCs w:val="24"/>
              </w:rPr>
            </w:pPr>
            <w:r>
              <w:rPr>
                <w:rFonts w:hint="eastAsia" w:ascii="仿宋" w:hAnsi="仿宋" w:eastAsia="仿宋" w:cs="宋体"/>
                <w:b/>
                <w:bCs/>
                <w:sz w:val="24"/>
                <w:szCs w:val="24"/>
              </w:rPr>
              <w:t>2.儿童福利机构优化工程。</w:t>
            </w:r>
            <w:r>
              <w:rPr>
                <w:rFonts w:hint="eastAsia" w:ascii="仿宋" w:hAnsi="仿宋" w:eastAsia="仿宋" w:cs="宋体"/>
                <w:sz w:val="24"/>
                <w:szCs w:val="24"/>
              </w:rPr>
              <w:t>提升儿童福利机构服务能力，加强对儿童福利机构的监督和管理，补足儿童福利机构服务短板，迁建中国开封SOS儿童村，加强开封市残疾儿童康复中心整体搬迁工程建设，支持开封市社会福利院特殊教育教学楼建设，保障特殊儿童受教育权利。</w:t>
            </w:r>
          </w:p>
          <w:p>
            <w:pPr>
              <w:widowControl/>
              <w:spacing w:line="360" w:lineRule="auto"/>
              <w:ind w:firstLine="482" w:firstLineChars="200"/>
              <w:rPr>
                <w:rFonts w:ascii="仿宋" w:hAnsi="仿宋" w:eastAsia="仿宋" w:cs="仿宋_GB2312"/>
                <w:spacing w:val="8"/>
                <w:kern w:val="0"/>
                <w:sz w:val="24"/>
                <w:szCs w:val="24"/>
              </w:rPr>
            </w:pPr>
            <w:r>
              <w:rPr>
                <w:rFonts w:hint="eastAsia" w:ascii="仿宋" w:hAnsi="仿宋" w:eastAsia="仿宋" w:cs="宋体"/>
                <w:b/>
                <w:bCs/>
                <w:sz w:val="24"/>
                <w:szCs w:val="24"/>
              </w:rPr>
              <w:t>3.未成年人保护中心建设计划。</w:t>
            </w:r>
            <w:r>
              <w:rPr>
                <w:rFonts w:hint="eastAsia" w:ascii="仿宋" w:hAnsi="仿宋" w:eastAsia="仿宋" w:cs="宋体"/>
                <w:sz w:val="24"/>
                <w:szCs w:val="24"/>
              </w:rPr>
              <w:t>加强未成年人保护工作，提升未成年人保护工作者专业水平，强化未成年人监护主体责任，健全未成年人保护政策。</w:t>
            </w:r>
          </w:p>
        </w:tc>
      </w:tr>
    </w:tbl>
    <w:p>
      <w:pPr>
        <w:keepNext/>
        <w:keepLines/>
        <w:spacing w:before="624" w:beforeLines="200" w:after="624" w:afterLines="200" w:line="360" w:lineRule="auto"/>
        <w:jc w:val="center"/>
        <w:outlineLvl w:val="0"/>
        <w:rPr>
          <w:rFonts w:ascii="方正小标宋简体" w:hAnsi="方正小标宋简体" w:eastAsia="方正小标宋简体"/>
          <w:kern w:val="44"/>
          <w:sz w:val="32"/>
          <w:szCs w:val="32"/>
        </w:rPr>
      </w:pPr>
      <w:bookmarkStart w:id="54" w:name="_Toc12312"/>
      <w:r>
        <w:rPr>
          <w:rFonts w:hint="eastAsia" w:ascii="黑体" w:hAnsi="黑体" w:eastAsia="黑体"/>
          <w:kern w:val="44"/>
          <w:sz w:val="32"/>
          <w:szCs w:val="32"/>
        </w:rPr>
        <w:t>第八章 打造新型民政事业发展标杆</w:t>
      </w:r>
      <w:bookmarkEnd w:id="54"/>
    </w:p>
    <w:p>
      <w:pPr>
        <w:spacing w:line="360" w:lineRule="auto"/>
        <w:ind w:firstLine="640" w:firstLineChars="200"/>
        <w:rPr>
          <w:rFonts w:ascii="仿宋" w:hAnsi="仿宋" w:eastAsia="仿宋"/>
          <w:sz w:val="32"/>
          <w:szCs w:val="32"/>
        </w:rPr>
      </w:pPr>
      <w:r>
        <w:rPr>
          <w:rFonts w:hint="eastAsia" w:ascii="仿宋" w:hAnsi="仿宋" w:eastAsia="仿宋"/>
          <w:sz w:val="32"/>
          <w:szCs w:val="32"/>
        </w:rPr>
        <w:t>发展新型民政事业，把握民政工作新部署新要求，以推动高质量发展为主题，以改革创新为动力，以服务群众为目的，着力打造“五个民政”，突出抓好“七个重点”，全面推进开封市民政工作现代化建设和高质量发展。</w:t>
      </w:r>
      <w:r>
        <w:rPr>
          <w:rFonts w:hint="eastAsia" w:ascii="仿宋" w:hAnsi="仿宋" w:eastAsia="仿宋" w:cs="仿宋_GB2312"/>
          <w:spacing w:val="8"/>
          <w:kern w:val="0"/>
          <w:sz w:val="32"/>
          <w:szCs w:val="32"/>
        </w:rPr>
        <w:t>持续深化“放管服”改革，</w:t>
      </w:r>
      <w:r>
        <w:rPr>
          <w:rFonts w:hint="eastAsia" w:ascii="仿宋" w:hAnsi="仿宋" w:eastAsia="仿宋"/>
          <w:sz w:val="32"/>
          <w:szCs w:val="32"/>
        </w:rPr>
        <w:t>建立多方协同的民政事业发展机制体制，强化民政人才培养工作，推动实现民政事业创新性发展。发展新型数字民政事业，建设河南省智慧养老服务平台试点城市，健全民政服务领域数字资源服务体系，推动社会民政服务领域生产要素数字化，推动社会服务领域优质资源共享复用。至2025年，将开封市打造成为河南省数字民政服务体系建设标杆城市。</w:t>
      </w:r>
    </w:p>
    <w:p>
      <w:pPr>
        <w:keepNext/>
        <w:keepLines/>
        <w:spacing w:before="312" w:beforeLines="100" w:after="312" w:afterLines="100" w:line="360" w:lineRule="auto"/>
        <w:ind w:firstLine="602"/>
        <w:jc w:val="center"/>
        <w:outlineLvl w:val="1"/>
        <w:rPr>
          <w:rFonts w:ascii="楷体" w:hAnsi="楷体" w:eastAsia="楷体"/>
          <w:b/>
          <w:kern w:val="0"/>
          <w:sz w:val="32"/>
          <w:szCs w:val="32"/>
        </w:rPr>
      </w:pPr>
      <w:bookmarkStart w:id="55" w:name="_Toc4431"/>
      <w:r>
        <w:rPr>
          <w:rFonts w:hint="eastAsia" w:ascii="楷体" w:hAnsi="楷体" w:eastAsia="楷体"/>
          <w:b/>
          <w:kern w:val="0"/>
          <w:sz w:val="32"/>
          <w:szCs w:val="32"/>
        </w:rPr>
        <w:t>第一节 推动民政事业高质量发展</w:t>
      </w:r>
      <w:bookmarkEnd w:id="55"/>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坚持党建引领，提高政治</w:t>
      </w:r>
      <w:r>
        <w:rPr>
          <w:rFonts w:hint="eastAsia" w:ascii="仿宋" w:hAnsi="仿宋" w:eastAsia="仿宋"/>
          <w:b/>
          <w:bCs/>
          <w:sz w:val="32"/>
          <w:szCs w:val="32"/>
          <w:lang w:val="en-US" w:eastAsia="zh-CN"/>
        </w:rPr>
        <w:t>站</w:t>
      </w:r>
      <w:r>
        <w:rPr>
          <w:rFonts w:hint="eastAsia" w:ascii="仿宋" w:hAnsi="仿宋" w:eastAsia="仿宋"/>
          <w:b/>
          <w:bCs/>
          <w:sz w:val="32"/>
          <w:szCs w:val="32"/>
        </w:rPr>
        <w:t>位。</w:t>
      </w:r>
      <w:r>
        <w:rPr>
          <w:rFonts w:hint="eastAsia" w:ascii="仿宋" w:hAnsi="仿宋" w:eastAsia="仿宋"/>
          <w:sz w:val="32"/>
          <w:szCs w:val="32"/>
        </w:rPr>
        <w:t>始</w:t>
      </w:r>
      <w:bookmarkStart w:id="64" w:name="_GoBack"/>
      <w:bookmarkEnd w:id="64"/>
      <w:r>
        <w:rPr>
          <w:rFonts w:hint="eastAsia" w:ascii="仿宋" w:hAnsi="仿宋" w:eastAsia="仿宋"/>
          <w:sz w:val="32"/>
          <w:szCs w:val="32"/>
        </w:rPr>
        <w:t>终贯穿以党的建设为统领这“一条主线”，加强政治建设，用习近平新时代中国特色社会主义思想统揽行动，不断提高政治判断力、政治领悟力、政治执行力，促进民政系统党的政治建设高质量发展。加强开封市民政组织党风廉政建设，始终把党风廉政建设作为一项重大政治任务，努力营造风清气正的为民服务环境。</w:t>
      </w:r>
    </w:p>
    <w:p>
      <w:pPr>
        <w:spacing w:before="100" w:beforeAutospacing="1" w:after="100" w:afterAutospacing="1"/>
        <w:ind w:left="136" w:firstLine="643" w:firstLineChars="200"/>
        <w:jc w:val="left"/>
        <w:rPr>
          <w:rFonts w:ascii="仿宋" w:hAnsi="仿宋" w:eastAsia="仿宋"/>
          <w:sz w:val="32"/>
          <w:szCs w:val="32"/>
        </w:rPr>
      </w:pPr>
      <w:r>
        <w:rPr>
          <w:rFonts w:hint="eastAsia" w:ascii="仿宋" w:hAnsi="仿宋" w:eastAsia="仿宋"/>
          <w:b/>
          <w:bCs/>
          <w:sz w:val="32"/>
          <w:szCs w:val="32"/>
        </w:rPr>
        <w:t>推动民政事业市场化运作，提高民政服务质量</w:t>
      </w:r>
      <w:r>
        <w:rPr>
          <w:rFonts w:hint="eastAsia" w:ascii="仿宋" w:hAnsi="仿宋" w:eastAsia="仿宋"/>
          <w:sz w:val="32"/>
          <w:szCs w:val="32"/>
        </w:rPr>
        <w:t>。促进民政事业良性循环和健康快速发展，补齐发展短板，提升民政服务品质，</w:t>
      </w:r>
      <w:r>
        <w:rPr>
          <w:rFonts w:hint="eastAsia" w:ascii="仿宋" w:hAnsi="仿宋" w:eastAsia="仿宋"/>
          <w:sz w:val="32"/>
          <w:szCs w:val="32"/>
          <w:lang w:eastAsia="zh-CN"/>
        </w:rPr>
        <w:t>支持</w:t>
      </w:r>
      <w:r>
        <w:rPr>
          <w:rFonts w:hint="eastAsia" w:ascii="仿宋" w:hAnsi="仿宋" w:eastAsia="仿宋"/>
          <w:sz w:val="32"/>
          <w:szCs w:val="32"/>
        </w:rPr>
        <w:t>民政</w:t>
      </w:r>
      <w:r>
        <w:rPr>
          <w:rFonts w:ascii="仿宋" w:hAnsi="仿宋" w:eastAsia="仿宋"/>
          <w:sz w:val="32"/>
          <w:szCs w:val="32"/>
        </w:rPr>
        <w:t>服务</w:t>
      </w:r>
      <w:r>
        <w:rPr>
          <w:rFonts w:hint="eastAsia" w:ascii="仿宋" w:hAnsi="仿宋" w:eastAsia="仿宋"/>
          <w:sz w:val="32"/>
          <w:szCs w:val="32"/>
        </w:rPr>
        <w:t>业务</w:t>
      </w:r>
      <w:r>
        <w:rPr>
          <w:rFonts w:ascii="仿宋" w:hAnsi="仿宋" w:eastAsia="仿宋"/>
          <w:sz w:val="32"/>
          <w:szCs w:val="32"/>
        </w:rPr>
        <w:t>相关</w:t>
      </w:r>
      <w:r>
        <w:rPr>
          <w:rFonts w:hint="eastAsia" w:ascii="仿宋" w:hAnsi="仿宋" w:eastAsia="仿宋"/>
          <w:sz w:val="32"/>
          <w:szCs w:val="32"/>
        </w:rPr>
        <w:t>公司</w:t>
      </w:r>
      <w:r>
        <w:rPr>
          <w:rFonts w:hint="eastAsia" w:ascii="仿宋" w:hAnsi="仿宋" w:eastAsia="仿宋"/>
          <w:sz w:val="32"/>
          <w:szCs w:val="32"/>
          <w:lang w:eastAsia="zh-CN"/>
        </w:rPr>
        <w:t>发展</w:t>
      </w:r>
      <w:r>
        <w:rPr>
          <w:rFonts w:hint="eastAsia" w:ascii="仿宋" w:hAnsi="仿宋" w:eastAsia="仿宋"/>
          <w:sz w:val="32"/>
          <w:szCs w:val="32"/>
        </w:rPr>
        <w:t>，为民政服务高质量发展提供支撑平台。整合民政资产，盘活民政存量资产，化解开封市民政服务机构建设门类不齐全、设施落后等历史遗留问题。加强对开封市民政服务机构基础设施项目建设的投资融资和经营管理，引导社会资本进入民政服务产业，推动民政服务事业向民政服务产业转变。进行市场化运作，为民政服务机构提供行业等级评估、专业化服务及专业技术人员培训等政府购买服务，促进民政服务机构人才队伍建设和服务水平不断提高。</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打造数字民政、品质民政、法治民政、务实民政、责任民政“五个民政”</w:t>
      </w:r>
      <w:r>
        <w:rPr>
          <w:rFonts w:hint="eastAsia" w:ascii="仿宋" w:hAnsi="仿宋" w:eastAsia="仿宋"/>
          <w:sz w:val="32"/>
          <w:szCs w:val="32"/>
        </w:rPr>
        <w:t>。打造数字民政，以“放管服”改革为抓手，实施“互联网+民政”行动，促进现代数字信息技术与民政工作深度融合，提升民政大数据管理、运用能力，用数字化、信息化效能激发民政事业创新发展新动能。打造品质民政，着力加强养老服务、社会救助、儿童保障、社会事务、基层社会治理等重点民政领域涉及的基本公共服务标准体系建设，切实发挥标准化对高质量发展的牵引保障作用。打造法治民政，加强普法宣传教育，增强干部职工、民政服务对象法律意识，强化党纪党规对权力的监督制约作用，坚持阳光行政，促进民政政策、办事流程和办事结果公开透明，确保开封市民政事业沿着法治化轨道健康发展。打造务实民政，树立“党建统领、正向激励、容错纠错、监督问责”</w:t>
      </w:r>
      <w:r>
        <w:rPr>
          <w:rFonts w:hint="eastAsia" w:ascii="仿宋" w:hAnsi="仿宋" w:eastAsia="仿宋"/>
          <w:strike/>
          <w:sz w:val="32"/>
          <w:szCs w:val="32"/>
        </w:rPr>
        <w:t>的</w:t>
      </w:r>
      <w:r>
        <w:rPr>
          <w:rFonts w:hint="eastAsia" w:ascii="仿宋" w:hAnsi="仿宋" w:eastAsia="仿宋"/>
          <w:sz w:val="32"/>
          <w:szCs w:val="32"/>
        </w:rPr>
        <w:t>导向，紧盯兜底保障、养老服务、行政审批、殡葬改革等社会关注、群众关心的民生大事，破解发展难题，增强民政发展活力。打造责任民政，教育引导全市民政系统干部职工特别是党员领导干部牢固树立责任意识，落实好从严治党主体责任、安全生产第一责任、民生保障兜底责任、矛盾化解稳定责任。</w:t>
      </w:r>
    </w:p>
    <w:p>
      <w:pPr>
        <w:keepNext/>
        <w:keepLines/>
        <w:spacing w:before="312" w:beforeLines="100" w:after="312" w:afterLines="100" w:line="360" w:lineRule="auto"/>
        <w:ind w:firstLine="602"/>
        <w:jc w:val="center"/>
        <w:outlineLvl w:val="1"/>
        <w:rPr>
          <w:rFonts w:ascii="楷体" w:hAnsi="楷体" w:eastAsia="楷体"/>
          <w:b/>
          <w:kern w:val="0"/>
          <w:sz w:val="32"/>
          <w:szCs w:val="32"/>
        </w:rPr>
      </w:pPr>
      <w:bookmarkStart w:id="56" w:name="_Toc25412"/>
      <w:r>
        <w:rPr>
          <w:rFonts w:hint="eastAsia" w:ascii="楷体" w:hAnsi="楷体" w:eastAsia="楷体"/>
          <w:b/>
          <w:kern w:val="0"/>
          <w:sz w:val="32"/>
          <w:szCs w:val="32"/>
        </w:rPr>
        <w:t>第二节 构建数字民政发展高地</w:t>
      </w:r>
      <w:bookmarkEnd w:id="56"/>
    </w:p>
    <w:p>
      <w:pPr>
        <w:ind w:firstLine="640" w:firstLineChars="200"/>
        <w:rPr>
          <w:rFonts w:ascii="仿宋" w:hAnsi="仿宋" w:eastAsia="仿宋"/>
          <w:sz w:val="32"/>
          <w:szCs w:val="32"/>
        </w:rPr>
      </w:pPr>
      <w:r>
        <w:rPr>
          <w:rFonts w:hint="eastAsia" w:ascii="仿宋" w:hAnsi="仿宋" w:eastAsia="仿宋"/>
          <w:sz w:val="32"/>
          <w:szCs w:val="32"/>
        </w:rPr>
        <w:t>持续推进开封市民政工作“全域数字化”改革，构建集成协同、智能、精准的数字民政体系，同时加强大数据技术、5G技术、云计算、人工智能等现代科技手段在民政事业中的应用。以互联网、大数据等技术为依托，建设智慧化民政智治体系，打造“智慧服务、智慧养老、智慧救助、智慧治理”四位一体数字智慧平台，呈现“一个平台管全市、一组数据看态势、一张地图找点位、一部手机办事项、一套算法助决策”的数字民政服务格局，重点支持开封市智慧养老服务平台建设与完善。</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构建开封市数字民政智治体系。</w:t>
      </w:r>
      <w:r>
        <w:rPr>
          <w:rFonts w:hint="eastAsia" w:ascii="仿宋" w:hAnsi="仿宋" w:eastAsia="仿宋"/>
          <w:sz w:val="32"/>
          <w:szCs w:val="32"/>
        </w:rPr>
        <w:t>贯彻数字化改革理念，以整体智治、唯实惟先为导向，实现开封市民政全领域、全流程、全要素数字化转型，打造增效能、促参与、优服务、善治理的联合型民政服务智治体系。全力深化智慧民政减负增服务促参与机制，以民政领域数字化改革为契机，以数字赋能构建“数据采集+需求分析+决策实施+评估修正”的民政工作闭环体系，对民政服务治理对象精准画像、动态预警、主动服务，纵向畅通到底。坚持能共享则共享、能开放就开放的原则，全面推进民政数据共享交换和开放应用。围绕社区群众需求和治理服务场景应用导向，全力推进政府管用、社区有用、居民爱用的基层数字治理平台，打造“全要素精密智控、全周期精准服务、全流程闭环管理、全维度治理场景、全内容数字生态、全业务融合平台”等“六全”为核心的社区智治体系。在全市范围内定期开设数字民政人才学习培养课程，强化民政数字化服务人才培养工作，着力实施“民政铁军”强基工程。</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加快建设智慧民政服务平台。</w:t>
      </w:r>
      <w:r>
        <w:rPr>
          <w:rFonts w:hint="eastAsia" w:ascii="仿宋" w:hAnsi="仿宋" w:eastAsia="仿宋"/>
          <w:sz w:val="32"/>
          <w:szCs w:val="32"/>
        </w:rPr>
        <w:t>全面推进信息技术在社会福利、社会救助、基层社会治理、民政公共服务等各个领域的应用，加强信息资源整合，建设完备的民政信息化技术支撑体系。在民政公共服务领域中，通过大力实施“智慧服务”，更好推动便民利民惠民，按照河南省和开封市数字化改革工作要求，充分发挥“互联网+服务”作用，全面提升民政服务对象的获得感和幸福感。建设开封市智慧民政服务综合平台，形成多方协同的民政事业发展体制机制，促进开封市民政事业高质量发展。</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推进“智慧养老”服务建设。</w:t>
      </w:r>
      <w:r>
        <w:rPr>
          <w:rFonts w:hint="eastAsia" w:ascii="仿宋" w:hAnsi="仿宋" w:eastAsia="仿宋"/>
          <w:sz w:val="32"/>
          <w:szCs w:val="32"/>
        </w:rPr>
        <w:t>推进养老服务一体联办，在社会养老事业中通过大力实施“智慧养老”，满足老年人个性需求。统筹政务信息资源，打造3D实景看护机构、养老智能看护平台、养老产品租赁平台、医养结合咨询导医服务等平台，提升大数据分析能力，实现户籍、医疗、社保、社会救助等信息共享，推动开封市养老供给与需求精准高效对接。强力推进开封市智慧养老服务平台建设，打造智慧养老社区，谋划建设开封市智慧养老院，逐步提高养老服务智慧化水平。升级智慧养老服务平台，增强服务管理、安全监管、绩效评估、大数据统计分析、养老服务地图等功能，重点解决老年人急需的助餐、助浴、助洁、助医、助购等需求，精心打造为老服务民生工程。稳步拓展文化娱乐、精神慰藉、教育培训等领域的便捷服务项目，切实为老年人提供高效便捷智慧的养老服务，有效提升全市养老服务水平，打造养老服务产业发展新亮点。</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提升“智慧救助”服务能力。</w:t>
      </w:r>
      <w:r>
        <w:rPr>
          <w:rFonts w:hint="eastAsia" w:ascii="仿宋" w:hAnsi="仿宋" w:eastAsia="仿宋"/>
          <w:sz w:val="32"/>
          <w:szCs w:val="32"/>
        </w:rPr>
        <w:t>依托数字化平台创建“全城发现”新模式，加强“大救助、e救助、微救助”建设，对困难家庭动态复核、纳入渐退、新增劳动力人口、死亡火化等四类情形进行智能预警，并主动将因病、因残等原因收入骤减或支出骤增的困难对象纳入监测范围。实现城乡社会救助信息数据存储与处理、实时审批、动态管理、收入核查比对、一站式结算等功能，实现精准救助、高效救助、智慧救助。充分运用数据挖掘技术，梳理家境调查、探访关爱等多途径采集的数据，智慧链接相应的救助项目、实现救助方式的多样化、专业化和个性化进一步完善物价和困难居民生活补助联动机制，实施城乡一体的物价联动新机制、不断优化“申请、审核、认定、救助、管控”等工作流程，加快推进社会救助改革，实现困难群众社会救助，特殊群体救助、公用事业民生补贴等民生补贴事项一站式线上集成办理，实现智能化、快捷化救助，让困难群众救助事项实现“掌上办”“码上办”，做到救助服务系统向移动端延伸。同时注重数据资源的开发与应用，建设开封市民政智能决策支持中心，建立并完善包括社会组织、养老机构、儿童福利机构、救助机构、慈善组织等单位信息的法人数据库，实时更新包括老年人口、社会救助对象、孤残儿童、死亡人口等服务对象信息的人口数据库。促进政务信息资源深度利用，进一步提升民政信息化水平，提高民政服务的智慧救助能力。</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稳步推进“智慧治理”建设。</w:t>
      </w:r>
      <w:r>
        <w:rPr>
          <w:rFonts w:hint="eastAsia" w:ascii="仿宋" w:hAnsi="仿宋" w:eastAsia="仿宋"/>
          <w:bCs/>
          <w:sz w:val="32"/>
          <w:szCs w:val="32"/>
        </w:rPr>
        <w:t>在基层治理服务中牢固树立基层治理工作数字化观念，不断提高基层治理队伍的工作水平，不断提升基层治理数字赋能效果。依托智慧社区建设，通过社区志愿者、社区社会组织帮扶，解决老年人享受数字治理与服务的人工障碍。加强智慧社区数据共享建设，实现智慧社区治理与服务联办率100%。致力打造集约高效、自主可控、安全可信、开放兼容的一体化智慧民政服务治理体系，提升民政数据运用能力，建设民政大数据库，促进现代信息技术与民政工作深度融合，形成全市民政系统共建共享共治、数据循环利用机制，推进智慧民政治理平台建设，发挥开封模式优势，完善“互联网+基层治理”新模式。坚持需求导向、系统观念、创新理念、数据赋能四个原则，围绕智慧民政、大救助体系、高质量智慧养老服务、市域治理现代化等领域，着力强化一体化智慧民政服务平台和大救助体系建设、加快构建智慧治理体系，推动民政服务优化升级，助推开封民政事业高质量发展。</w:t>
      </w:r>
    </w:p>
    <w:p>
      <w:pPr>
        <w:keepNext/>
        <w:keepLines/>
        <w:spacing w:before="312" w:beforeLines="100" w:after="312" w:afterLines="100" w:line="360" w:lineRule="auto"/>
        <w:ind w:firstLine="602"/>
        <w:jc w:val="center"/>
        <w:outlineLvl w:val="1"/>
        <w:rPr>
          <w:rFonts w:ascii="楷体" w:hAnsi="楷体" w:eastAsia="楷体"/>
          <w:b/>
          <w:kern w:val="0"/>
          <w:sz w:val="32"/>
          <w:szCs w:val="32"/>
        </w:rPr>
      </w:pPr>
      <w:bookmarkStart w:id="57" w:name="_Toc17159"/>
      <w:r>
        <w:rPr>
          <w:rFonts w:hint="eastAsia" w:ascii="楷体" w:hAnsi="楷体" w:eastAsia="楷体"/>
          <w:b/>
          <w:kern w:val="0"/>
          <w:sz w:val="32"/>
          <w:szCs w:val="32"/>
        </w:rPr>
        <w:t>第三节 建立多方协同工作机制</w:t>
      </w:r>
      <w:bookmarkEnd w:id="57"/>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建立健全部门协同联合工作机制，提高工作效能。</w:t>
      </w:r>
      <w:r>
        <w:rPr>
          <w:rFonts w:hint="eastAsia" w:ascii="仿宋" w:hAnsi="仿宋" w:eastAsia="仿宋"/>
          <w:sz w:val="32"/>
          <w:szCs w:val="32"/>
        </w:rPr>
        <w:t>健全激励与约束机制，引导社会组织、市场主体、事业单位进入民政相关领域提供治理与服务资源，增进民政工作社会化、专业化程度。健全资金投入保障机制，积极探索多渠道、多形式、多层次的新型民政事业发展资金筹措机制，协调联合财政部门明确一定比例的救助资金用作民政工作经费。健全民政设施监管及公共服务工作机制，规范建立政府购买服务制度、日间照料中心后续管理运营规则等机制，强化民政系统上下联动。建立健全专班推进、定期会商、双向交办、激励奖惩四项机制，加强部门协同，压实责任、增强合力、细化工作，确保开封市民政服务体制机制健康发展。</w:t>
      </w:r>
    </w:p>
    <w:p>
      <w:pPr>
        <w:spacing w:line="360" w:lineRule="auto"/>
        <w:ind w:firstLine="643" w:firstLineChars="200"/>
        <w:rPr>
          <w:rFonts w:ascii="仿宋" w:hAnsi="仿宋" w:eastAsia="仿宋"/>
          <w:sz w:val="32"/>
          <w:szCs w:val="32"/>
        </w:rPr>
      </w:pPr>
      <w:r>
        <w:rPr>
          <w:rFonts w:hint="eastAsia" w:ascii="仿宋" w:hAnsi="仿宋" w:eastAsia="仿宋"/>
          <w:b/>
          <w:bCs/>
          <w:sz w:val="32"/>
          <w:szCs w:val="32"/>
        </w:rPr>
        <w:t>建立社会参与协同机制，提升服务质量。</w:t>
      </w:r>
      <w:r>
        <w:rPr>
          <w:rFonts w:hint="eastAsia" w:ascii="仿宋" w:hAnsi="仿宋" w:eastAsia="仿宋"/>
          <w:sz w:val="32"/>
          <w:szCs w:val="32"/>
        </w:rPr>
        <w:t>积极完善和实施社会力量参与养老、社会救助、慈善等的优惠政策，鼓励和引导社会力量参与相关工作。建立健全社会机构和社会力量参与养老、社会救助、慈善等工作的信息对接、项目发布的工作联系机制，形成政府和社会力量的有机结合。培育承接主体，积极建立能够参与养老、社会救助、慈善等工作、提供相关服务事项的协同管理制度，提高承接能力。进一步通过政府采购、招投标等方式向社会力量购买养老、社会救助、慈善等服务，以委托、承包、采购等方式，把适合社会力量承接的养老、社会救助、慈善等服务转移给社会力量承担。</w:t>
      </w:r>
    </w:p>
    <w:p>
      <w:pPr>
        <w:keepNext/>
        <w:keepLines/>
        <w:spacing w:before="312" w:beforeLines="100" w:after="312" w:afterLines="100" w:line="360" w:lineRule="auto"/>
        <w:ind w:firstLine="602"/>
        <w:jc w:val="center"/>
        <w:outlineLvl w:val="1"/>
        <w:rPr>
          <w:rFonts w:ascii="楷体" w:hAnsi="楷体" w:eastAsia="楷体"/>
          <w:b/>
          <w:kern w:val="0"/>
          <w:sz w:val="32"/>
          <w:szCs w:val="32"/>
        </w:rPr>
      </w:pPr>
      <w:bookmarkStart w:id="58" w:name="_Toc16271"/>
      <w:r>
        <w:rPr>
          <w:rFonts w:hint="eastAsia" w:ascii="楷体" w:hAnsi="楷体" w:eastAsia="楷体"/>
          <w:b/>
          <w:kern w:val="0"/>
          <w:sz w:val="32"/>
          <w:szCs w:val="32"/>
        </w:rPr>
        <w:t>第四节 强化新型民政人才培养机制</w:t>
      </w:r>
      <w:bookmarkEnd w:id="58"/>
    </w:p>
    <w:p>
      <w:pPr>
        <w:ind w:firstLine="640" w:firstLineChars="200"/>
        <w:rPr>
          <w:rFonts w:ascii="仿宋" w:hAnsi="仿宋" w:eastAsia="仿宋"/>
          <w:sz w:val="32"/>
          <w:szCs w:val="32"/>
        </w:rPr>
      </w:pPr>
      <w:r>
        <w:rPr>
          <w:rFonts w:hint="eastAsia" w:ascii="仿宋" w:hAnsi="仿宋" w:eastAsia="仿宋"/>
          <w:sz w:val="32"/>
          <w:szCs w:val="32"/>
        </w:rPr>
        <w:t>着力提升民政工作人员政治素养，加强民政干部队伍建设，提升其抓改革、促发展、保稳定的水平和专业化能力。加强思想政治建设，着力提升队伍的政治素质;加强作风建设，不断完善党风廉政等各项规章制度;加快法治建设，实施“互联网+民政执法监管”，全面落实“双随机一公开”监管机制;提高业务素质水平，不断提升队伍专业化能力，坚持业务能力建设与思想政治建设相结合、全面建设与重点突破相结合。</w:t>
      </w:r>
    </w:p>
    <w:p>
      <w:pPr>
        <w:ind w:firstLine="643" w:firstLineChars="200"/>
        <w:rPr>
          <w:rFonts w:ascii="仿宋" w:hAnsi="仿宋" w:eastAsia="仿宋"/>
          <w:sz w:val="32"/>
          <w:szCs w:val="32"/>
        </w:rPr>
      </w:pPr>
      <w:r>
        <w:rPr>
          <w:rFonts w:hint="eastAsia" w:ascii="仿宋" w:hAnsi="仿宋" w:eastAsia="仿宋"/>
          <w:b/>
          <w:bCs/>
          <w:sz w:val="32"/>
          <w:szCs w:val="32"/>
        </w:rPr>
        <w:t>打造高素质专业化民政人才队伍。</w:t>
      </w:r>
      <w:r>
        <w:rPr>
          <w:rFonts w:hint="eastAsia" w:ascii="仿宋" w:hAnsi="仿宋" w:eastAsia="仿宋"/>
          <w:sz w:val="32"/>
          <w:szCs w:val="32"/>
        </w:rPr>
        <w:t>加快培育与民政事业发展任务相适应、结构合理、素质全面的专业化、高技能、创新型民政人才队伍。在民政服务专业领域，通过完善继续教育体系，健全专业人才的职称评定制度，全面提升民政从业人员专业水平、业务能力、服务质量。建立完善激励担当、整治不担当的考评管理机制，培养严谨细致作风，维护开封市民政良好形象。开展“民政铁军”强基工程，定期举办民政系统政策、业务学习培训班，实施基层民政部门人员素质提升工程，提高县、乡民政行政管理人员的服务管理水平，提升民政行业技术人员的工作能力。规划建设开封市民政服务职业培训学校，培养高素质民政服务人才，积极推进市校合作战略，与河南大学等高校合作建设民政人才培训服务平台。</w:t>
      </w:r>
    </w:p>
    <w:p>
      <w:pPr>
        <w:ind w:firstLine="643" w:firstLineChars="200"/>
        <w:rPr>
          <w:rFonts w:ascii="仿宋" w:hAnsi="仿宋" w:eastAsia="仿宋"/>
          <w:sz w:val="32"/>
          <w:szCs w:val="32"/>
        </w:rPr>
      </w:pPr>
      <w:r>
        <w:rPr>
          <w:rFonts w:hint="eastAsia" w:ascii="仿宋" w:hAnsi="仿宋" w:eastAsia="仿宋"/>
          <w:b/>
          <w:bCs/>
          <w:sz w:val="32"/>
          <w:szCs w:val="32"/>
        </w:rPr>
        <w:t>全面加强民政人才体系建设</w:t>
      </w:r>
      <w:r>
        <w:rPr>
          <w:rFonts w:hint="eastAsia" w:ascii="仿宋" w:hAnsi="仿宋" w:eastAsia="仿宋"/>
          <w:sz w:val="32"/>
          <w:szCs w:val="32"/>
        </w:rPr>
        <w:t>。扩大民政服务人才队伍，足额配备乡镇(街道)民政管理服务人员，承担民政工作职能。在专业服务领域，通过完善职业发展体系，健全源头培养与技能培训体系，提升人员配置的市场化水平，建设专业社会服务人员数据库，提升社会救助、养老服务、未成年人保护、残疾人服务、殡葬服务、社会组织服务等重点领域服务人才职业化程度与专业化水平。大力推进养老服务队伍、社会救助队伍、社会组织队伍、社会工作人员队伍建设。在基层社会治理领域，通过完善综合协调机制、健全人才培养体系、强化激励保障等措施，重点提升社区工作者、社会工作者和社会组织带头人等基层社会治理队伍能力，努力建设全国社会工作人才高地。</w:t>
      </w:r>
    </w:p>
    <w:tbl>
      <w:tblPr>
        <w:tblStyle w:val="26"/>
        <w:tblW w:w="8192" w:type="dxa"/>
        <w:jc w:val="center"/>
        <w:tblLayout w:type="fixed"/>
        <w:tblCellMar>
          <w:top w:w="0" w:type="dxa"/>
          <w:left w:w="0" w:type="dxa"/>
          <w:bottom w:w="0" w:type="dxa"/>
          <w:right w:w="0" w:type="dxa"/>
        </w:tblCellMar>
      </w:tblPr>
      <w:tblGrid>
        <w:gridCol w:w="8192"/>
      </w:tblGrid>
      <w:tr>
        <w:tblPrEx>
          <w:tblCellMar>
            <w:top w:w="0" w:type="dxa"/>
            <w:left w:w="0" w:type="dxa"/>
            <w:bottom w:w="0" w:type="dxa"/>
            <w:right w:w="0" w:type="dxa"/>
          </w:tblCellMar>
        </w:tblPrEx>
        <w:trPr>
          <w:trHeight w:val="640" w:hRule="atLeast"/>
          <w:jc w:val="center"/>
        </w:trPr>
        <w:tc>
          <w:tcPr>
            <w:tcW w:w="8192"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widowControl/>
              <w:wordWrap w:val="0"/>
              <w:spacing w:line="320" w:lineRule="atLeast"/>
              <w:jc w:val="center"/>
              <w:rPr>
                <w:rFonts w:ascii="黑体" w:hAnsi="黑体" w:eastAsia="黑体"/>
                <w:spacing w:val="8"/>
                <w:kern w:val="0"/>
                <w:sz w:val="24"/>
                <w:szCs w:val="24"/>
              </w:rPr>
            </w:pPr>
            <w:r>
              <w:rPr>
                <w:rFonts w:hint="eastAsia" w:ascii="黑体" w:hAnsi="黑体" w:eastAsia="黑体"/>
                <w:sz w:val="24"/>
                <w:szCs w:val="24"/>
              </w:rPr>
              <w:t>专栏14：开封市“智慧民政”“个十百千万”计划</w:t>
            </w:r>
          </w:p>
        </w:tc>
      </w:tr>
      <w:tr>
        <w:tblPrEx>
          <w:tblCellMar>
            <w:top w:w="0" w:type="dxa"/>
            <w:left w:w="0" w:type="dxa"/>
            <w:bottom w:w="0" w:type="dxa"/>
            <w:right w:w="0" w:type="dxa"/>
          </w:tblCellMar>
        </w:tblPrEx>
        <w:trPr>
          <w:trHeight w:val="640" w:hRule="atLeast"/>
          <w:jc w:val="center"/>
        </w:trPr>
        <w:tc>
          <w:tcPr>
            <w:tcW w:w="8192"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tcPr>
          <w:p>
            <w:pPr>
              <w:spacing w:line="360" w:lineRule="auto"/>
              <w:ind w:firstLine="480" w:firstLineChars="200"/>
              <w:rPr>
                <w:rFonts w:ascii="仿宋" w:hAnsi="仿宋" w:eastAsia="仿宋"/>
                <w:sz w:val="24"/>
                <w:szCs w:val="24"/>
              </w:rPr>
            </w:pPr>
            <w:r>
              <w:rPr>
                <w:rFonts w:hint="eastAsia" w:ascii="仿宋" w:hAnsi="仿宋" w:eastAsia="仿宋"/>
                <w:sz w:val="24"/>
                <w:szCs w:val="24"/>
              </w:rPr>
              <w:t>“个”，即民政服务“一张网”，推进民政服务数字化信息化发展。“十”，即推进十个县（区）智慧化。“百”，即建设一百个智慧社区样板。“千”，即千个智慧示范村。“万”，即打造面向百万服务对象的智慧民政服务体系。</w:t>
            </w:r>
          </w:p>
        </w:tc>
      </w:tr>
    </w:tbl>
    <w:p>
      <w:pPr>
        <w:keepNext/>
        <w:keepLines/>
        <w:spacing w:before="624" w:beforeLines="200" w:after="624" w:afterLines="200" w:line="360" w:lineRule="auto"/>
        <w:jc w:val="center"/>
        <w:outlineLvl w:val="0"/>
        <w:rPr>
          <w:rFonts w:ascii="方正小标宋简体" w:hAnsi="方正小标宋简体" w:eastAsia="方正小标宋简体"/>
          <w:kern w:val="44"/>
          <w:sz w:val="32"/>
          <w:szCs w:val="32"/>
        </w:rPr>
      </w:pPr>
      <w:bookmarkStart w:id="59" w:name="_Toc24688"/>
      <w:r>
        <w:rPr>
          <w:rFonts w:hint="eastAsia" w:ascii="黑体" w:hAnsi="黑体" w:eastAsia="黑体"/>
          <w:kern w:val="44"/>
          <w:sz w:val="32"/>
          <w:szCs w:val="32"/>
        </w:rPr>
        <w:t>第九章 强化民政事业发展规划保障</w:t>
      </w:r>
      <w:bookmarkEnd w:id="59"/>
    </w:p>
    <w:p>
      <w:pPr>
        <w:ind w:firstLine="640" w:firstLineChars="200"/>
        <w:rPr>
          <w:rFonts w:ascii="仿宋" w:hAnsi="仿宋" w:eastAsia="仿宋"/>
          <w:sz w:val="32"/>
          <w:szCs w:val="32"/>
        </w:rPr>
      </w:pPr>
      <w:r>
        <w:rPr>
          <w:rFonts w:hint="eastAsia" w:ascii="仿宋" w:hAnsi="仿宋" w:eastAsia="仿宋"/>
          <w:sz w:val="32"/>
          <w:szCs w:val="32"/>
        </w:rPr>
        <w:t>加强组织领导，完善标准体系，强化要素保障，提升规划实施效能，创造规划实施的必要条件和良好环境，全力推进重大改革、重大政策、重大平台和重大项目，确保规划目标任务如期完成。</w:t>
      </w:r>
    </w:p>
    <w:p>
      <w:pPr>
        <w:keepNext/>
        <w:keepLines/>
        <w:spacing w:before="312" w:beforeLines="100" w:after="312" w:afterLines="100" w:line="360" w:lineRule="auto"/>
        <w:ind w:firstLine="602"/>
        <w:jc w:val="center"/>
        <w:outlineLvl w:val="1"/>
        <w:rPr>
          <w:rFonts w:ascii="楷体" w:hAnsi="楷体" w:eastAsia="楷体"/>
          <w:b/>
          <w:kern w:val="0"/>
          <w:sz w:val="32"/>
          <w:szCs w:val="32"/>
        </w:rPr>
      </w:pPr>
      <w:bookmarkStart w:id="60" w:name="_Toc15503"/>
      <w:r>
        <w:rPr>
          <w:rFonts w:hint="eastAsia" w:ascii="楷体" w:hAnsi="楷体" w:eastAsia="楷体"/>
          <w:b/>
          <w:kern w:val="0"/>
          <w:sz w:val="32"/>
          <w:szCs w:val="32"/>
        </w:rPr>
        <w:t>第一节 加强组织领导</w:t>
      </w:r>
      <w:bookmarkEnd w:id="60"/>
    </w:p>
    <w:p>
      <w:pPr>
        <w:ind w:firstLine="640" w:firstLineChars="200"/>
        <w:rPr>
          <w:rFonts w:ascii="仿宋" w:hAnsi="仿宋" w:eastAsia="仿宋"/>
          <w:sz w:val="32"/>
          <w:szCs w:val="32"/>
        </w:rPr>
      </w:pPr>
      <w:r>
        <w:rPr>
          <w:rFonts w:hint="eastAsia" w:ascii="仿宋" w:hAnsi="仿宋" w:eastAsia="仿宋"/>
          <w:sz w:val="32"/>
          <w:szCs w:val="32"/>
        </w:rPr>
        <w:t>健全党委领导、政府主导、部门负责、社会参与的工作机制，建立健全民政服务重大政策、重大平台和重大项目部门协调和任务分解机制，将民政部门各项政策落实及工作情况纳入年度绩效考核范围。创新推进社会组织、公建民营养老机构等党建工作，推动党员结对关爱困难群众，加强智慧党建，争创开封市民政党建品牌。按照民政治理体系和治理现代化建设新要求，强化部门齐抓共管、协调联动机制，形成推进民政事业发展的强大合力。建立上下贯通、执行有力的组织体系，增强“四个意识”、坚定“四个自信”、做到“两个维护”，全面加强党对民政事业的领导，确保把习近平总书记关于民政工作重要指示批示精神贯穿于开封市民政发展改革全过程。</w:t>
      </w:r>
    </w:p>
    <w:p>
      <w:pPr>
        <w:keepNext/>
        <w:keepLines/>
        <w:spacing w:before="312" w:beforeLines="100" w:after="312" w:afterLines="100" w:line="360" w:lineRule="auto"/>
        <w:ind w:firstLine="602"/>
        <w:jc w:val="center"/>
        <w:outlineLvl w:val="1"/>
        <w:rPr>
          <w:rFonts w:ascii="楷体" w:hAnsi="楷体" w:eastAsia="楷体"/>
          <w:b/>
          <w:kern w:val="0"/>
          <w:sz w:val="32"/>
          <w:szCs w:val="32"/>
        </w:rPr>
      </w:pPr>
      <w:bookmarkStart w:id="61" w:name="_Toc9570"/>
      <w:r>
        <w:rPr>
          <w:rFonts w:hint="eastAsia" w:ascii="楷体" w:hAnsi="楷体" w:eastAsia="楷体"/>
          <w:b/>
          <w:kern w:val="0"/>
          <w:sz w:val="32"/>
          <w:szCs w:val="32"/>
        </w:rPr>
        <w:t>第二节 重视规划指导</w:t>
      </w:r>
      <w:bookmarkEnd w:id="61"/>
    </w:p>
    <w:p>
      <w:pPr>
        <w:ind w:firstLine="640" w:firstLineChars="200"/>
        <w:rPr>
          <w:sz w:val="32"/>
          <w:szCs w:val="32"/>
        </w:rPr>
      </w:pPr>
      <w:r>
        <w:rPr>
          <w:rFonts w:hint="eastAsia" w:ascii="仿宋" w:hAnsi="仿宋" w:eastAsia="仿宋"/>
          <w:sz w:val="32"/>
          <w:szCs w:val="32"/>
        </w:rPr>
        <w:t>广泛开展民政服务规划政策、重大项目、重点工作宣传，让民众更加了解民政、关心民政、支持民政。使用多媒体技术不断开展民政信息传播多渠道方式，充分展示开封民政良好形象。加强规划实施指导，积极开展专业人员培训，落实职能部门责任，培育一系列具有示范效应和典型性的示范点，加快推广先进经验，建立民政事业发展规划推进与民政服务工作创新发展联动机制。</w:t>
      </w:r>
    </w:p>
    <w:p>
      <w:pPr>
        <w:keepNext/>
        <w:keepLines/>
        <w:spacing w:before="312" w:beforeLines="100" w:after="312" w:afterLines="100" w:line="360" w:lineRule="auto"/>
        <w:ind w:firstLine="602"/>
        <w:jc w:val="center"/>
        <w:outlineLvl w:val="1"/>
        <w:rPr>
          <w:rFonts w:ascii="楷体" w:hAnsi="楷体" w:eastAsia="楷体"/>
          <w:b/>
          <w:kern w:val="0"/>
          <w:sz w:val="32"/>
          <w:szCs w:val="32"/>
        </w:rPr>
      </w:pPr>
      <w:bookmarkStart w:id="62" w:name="_Toc1797"/>
      <w:r>
        <w:rPr>
          <w:rFonts w:hint="eastAsia" w:ascii="楷体" w:hAnsi="楷体" w:eastAsia="楷体"/>
          <w:b/>
          <w:kern w:val="0"/>
          <w:sz w:val="32"/>
          <w:szCs w:val="32"/>
        </w:rPr>
        <w:t>第三节 强化要素保障</w:t>
      </w:r>
      <w:bookmarkEnd w:id="62"/>
    </w:p>
    <w:p>
      <w:pPr>
        <w:ind w:firstLine="640" w:firstLineChars="200"/>
        <w:rPr>
          <w:rFonts w:ascii="仿宋" w:hAnsi="仿宋" w:eastAsia="仿宋"/>
          <w:sz w:val="32"/>
          <w:szCs w:val="32"/>
        </w:rPr>
      </w:pPr>
      <w:r>
        <w:rPr>
          <w:rFonts w:hint="eastAsia" w:ascii="仿宋" w:hAnsi="仿宋" w:eastAsia="仿宋"/>
          <w:sz w:val="32"/>
          <w:szCs w:val="32"/>
        </w:rPr>
        <w:t>加大对兜底性、基础性民政事业的财政投入力度，盘活资金存量、做大资金增量、监控资金流量，有效落实各项先行计划和规划项目。与河南省财政机制改革相协调，加强财政资金供给，做好财政事业发展资金配套工作。持续提振福利彩票销售信心，优化彩票公益金分配使用。推进政府购买服务，积极吸引社会力量共同参与的民政事业发展。健全民政资金分配使用管理和项目建设规范，加强内部控制、资金监管和绩效评价。优化现有民政资源配置，提高利用效率，创新推进民政服务设施综合体建设，整合设置养老服务、儿童福利、救助管理、慈善、社会工作等民政服务机构。</w:t>
      </w:r>
    </w:p>
    <w:p>
      <w:pPr>
        <w:keepNext/>
        <w:keepLines/>
        <w:spacing w:before="312" w:beforeLines="100" w:after="312" w:afterLines="100" w:line="360" w:lineRule="auto"/>
        <w:ind w:firstLine="602"/>
        <w:jc w:val="center"/>
        <w:outlineLvl w:val="1"/>
        <w:rPr>
          <w:rFonts w:ascii="楷体" w:hAnsi="楷体" w:eastAsia="楷体"/>
          <w:b/>
          <w:kern w:val="0"/>
          <w:sz w:val="32"/>
          <w:szCs w:val="32"/>
        </w:rPr>
      </w:pPr>
      <w:bookmarkStart w:id="63" w:name="_Toc4790"/>
      <w:r>
        <w:rPr>
          <w:rFonts w:hint="eastAsia" w:ascii="楷体" w:hAnsi="楷体" w:eastAsia="楷体"/>
          <w:b/>
          <w:kern w:val="0"/>
          <w:sz w:val="32"/>
          <w:szCs w:val="32"/>
        </w:rPr>
        <w:t>第四节 提高实施效能</w:t>
      </w:r>
      <w:bookmarkEnd w:id="63"/>
    </w:p>
    <w:p>
      <w:pPr>
        <w:ind w:firstLine="640" w:firstLineChars="200"/>
        <w:rPr>
          <w:szCs w:val="21"/>
        </w:rPr>
      </w:pPr>
      <w:r>
        <w:rPr>
          <w:rFonts w:hint="eastAsia" w:ascii="仿宋" w:hAnsi="仿宋" w:eastAsia="仿宋"/>
          <w:sz w:val="32"/>
          <w:szCs w:val="32"/>
        </w:rPr>
        <w:t>强化规划指引和执行刚性，做好规划任务分解落实及后续政策配套工作，规划确定的主要指标以及重大行动、重要政策和重大项目，明确责任主体和进度要求，确保质量和效果。建立反映规划进展的指标和统计体系，建立规划实施督促考核机制，完善向人大、政协的报告和沟通机制，落实好规划中期评估和终期评估。</w:t>
      </w:r>
    </w:p>
    <w:p>
      <w:pPr>
        <w:pStyle w:val="4"/>
        <w:spacing w:before="624" w:after="624"/>
        <w:ind w:left="0"/>
      </w:pPr>
    </w:p>
    <w:sectPr>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center"/>
    </w:pPr>
    <w:r>
      <w:rPr>
        <w:lang w:val="zh-CN"/>
      </w:rPr>
      <w:fldChar w:fldCharType="begin"/>
    </w:r>
    <w:r>
      <w:rPr>
        <w:lang w:val="zh-CN"/>
      </w:rPr>
      <w:instrText xml:space="preserve"> PAGE   \* MERGEFORMAT </w:instrText>
    </w:r>
    <w:r>
      <w:rPr>
        <w:lang w:val="zh-CN"/>
      </w:rPr>
      <w:fldChar w:fldCharType="separate"/>
    </w:r>
    <w:r>
      <w:rPr>
        <w:lang w:val="zh-CN"/>
      </w:rPr>
      <w:t>21</w:t>
    </w:r>
    <w:r>
      <w:rPr>
        <w:lang w:val="zh-CN"/>
      </w:rPr>
      <w:fldChar w:fldCharType="end"/>
    </w:r>
  </w:p>
  <w:p>
    <w:pPr>
      <w:pStyle w:val="1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center"/>
    </w:pPr>
    <w:r>
      <w:rPr>
        <w:lang w:val="zh-CN"/>
      </w:rPr>
      <w:fldChar w:fldCharType="begin"/>
    </w:r>
    <w:r>
      <w:rPr>
        <w:lang w:val="zh-CN"/>
      </w:rPr>
      <w:instrText xml:space="preserve">PAGE   \* MERGEFORMAT</w:instrText>
    </w:r>
    <w:r>
      <w:rPr>
        <w:lang w:val="zh-CN"/>
      </w:rPr>
      <w:fldChar w:fldCharType="separate"/>
    </w:r>
    <w:r>
      <w:rPr>
        <w:lang w:val="zh-CN"/>
      </w:rPr>
      <w:t>2</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ind w:left="0" w:leftChars="0" w:firstLine="0" w:firstLineChars="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wMjg0YjhiNDVlYTIxODgwODAzMjllOGYwZDUwYzYifQ=="/>
  </w:docVars>
  <w:rsids>
    <w:rsidRoot w:val="00825C8F"/>
    <w:rsid w:val="00001051"/>
    <w:rsid w:val="00003B2A"/>
    <w:rsid w:val="00003EC1"/>
    <w:rsid w:val="0000444E"/>
    <w:rsid w:val="000049CA"/>
    <w:rsid w:val="00010294"/>
    <w:rsid w:val="000139ED"/>
    <w:rsid w:val="00014ECF"/>
    <w:rsid w:val="00015088"/>
    <w:rsid w:val="00021781"/>
    <w:rsid w:val="0003007F"/>
    <w:rsid w:val="00031653"/>
    <w:rsid w:val="000322A5"/>
    <w:rsid w:val="00032E5E"/>
    <w:rsid w:val="000340CB"/>
    <w:rsid w:val="00034200"/>
    <w:rsid w:val="00034EA1"/>
    <w:rsid w:val="00036CA5"/>
    <w:rsid w:val="00040E23"/>
    <w:rsid w:val="0004278F"/>
    <w:rsid w:val="000460BA"/>
    <w:rsid w:val="0004631B"/>
    <w:rsid w:val="00047B40"/>
    <w:rsid w:val="000509AE"/>
    <w:rsid w:val="0006166F"/>
    <w:rsid w:val="00062706"/>
    <w:rsid w:val="00063ACB"/>
    <w:rsid w:val="0006657C"/>
    <w:rsid w:val="00066E4E"/>
    <w:rsid w:val="00070A68"/>
    <w:rsid w:val="00075412"/>
    <w:rsid w:val="0008044A"/>
    <w:rsid w:val="000840BC"/>
    <w:rsid w:val="00085298"/>
    <w:rsid w:val="00087170"/>
    <w:rsid w:val="000917ED"/>
    <w:rsid w:val="000925B1"/>
    <w:rsid w:val="000953C2"/>
    <w:rsid w:val="00096ABB"/>
    <w:rsid w:val="00097FFB"/>
    <w:rsid w:val="000A28FB"/>
    <w:rsid w:val="000A2AE6"/>
    <w:rsid w:val="000A2C82"/>
    <w:rsid w:val="000A2C89"/>
    <w:rsid w:val="000A2E52"/>
    <w:rsid w:val="000A3574"/>
    <w:rsid w:val="000A5449"/>
    <w:rsid w:val="000A6F9F"/>
    <w:rsid w:val="000A752B"/>
    <w:rsid w:val="000A7AE4"/>
    <w:rsid w:val="000B46FF"/>
    <w:rsid w:val="000B4A46"/>
    <w:rsid w:val="000B5879"/>
    <w:rsid w:val="000B6EEA"/>
    <w:rsid w:val="000B6FC7"/>
    <w:rsid w:val="000C2917"/>
    <w:rsid w:val="000C4E62"/>
    <w:rsid w:val="000D1FA4"/>
    <w:rsid w:val="000D4A82"/>
    <w:rsid w:val="000D6678"/>
    <w:rsid w:val="000D7993"/>
    <w:rsid w:val="000E1032"/>
    <w:rsid w:val="000E2603"/>
    <w:rsid w:val="000E29E8"/>
    <w:rsid w:val="000E3ABC"/>
    <w:rsid w:val="000E52D5"/>
    <w:rsid w:val="000F38DB"/>
    <w:rsid w:val="000F5676"/>
    <w:rsid w:val="000F6879"/>
    <w:rsid w:val="000F75EE"/>
    <w:rsid w:val="00101B1A"/>
    <w:rsid w:val="00102500"/>
    <w:rsid w:val="00104112"/>
    <w:rsid w:val="001162D1"/>
    <w:rsid w:val="0011746E"/>
    <w:rsid w:val="001237EC"/>
    <w:rsid w:val="00127FCD"/>
    <w:rsid w:val="00130F83"/>
    <w:rsid w:val="00133196"/>
    <w:rsid w:val="001342FF"/>
    <w:rsid w:val="00134A83"/>
    <w:rsid w:val="00135380"/>
    <w:rsid w:val="00136573"/>
    <w:rsid w:val="001372E6"/>
    <w:rsid w:val="001375C4"/>
    <w:rsid w:val="001377E2"/>
    <w:rsid w:val="00140F66"/>
    <w:rsid w:val="00144D19"/>
    <w:rsid w:val="00146375"/>
    <w:rsid w:val="00147196"/>
    <w:rsid w:val="00151D74"/>
    <w:rsid w:val="00152F70"/>
    <w:rsid w:val="001531EF"/>
    <w:rsid w:val="00153B22"/>
    <w:rsid w:val="00154B77"/>
    <w:rsid w:val="00154E48"/>
    <w:rsid w:val="0016315D"/>
    <w:rsid w:val="00165A62"/>
    <w:rsid w:val="001724CC"/>
    <w:rsid w:val="00181AB3"/>
    <w:rsid w:val="001922CA"/>
    <w:rsid w:val="00194C08"/>
    <w:rsid w:val="00197980"/>
    <w:rsid w:val="001A092C"/>
    <w:rsid w:val="001A2A9B"/>
    <w:rsid w:val="001A43E3"/>
    <w:rsid w:val="001A569C"/>
    <w:rsid w:val="001A6940"/>
    <w:rsid w:val="001A6F38"/>
    <w:rsid w:val="001B5367"/>
    <w:rsid w:val="001B60A3"/>
    <w:rsid w:val="001B6A2D"/>
    <w:rsid w:val="001B7F5F"/>
    <w:rsid w:val="001C1C19"/>
    <w:rsid w:val="001C1CFD"/>
    <w:rsid w:val="001C2897"/>
    <w:rsid w:val="001C2BB9"/>
    <w:rsid w:val="001C525A"/>
    <w:rsid w:val="001C5569"/>
    <w:rsid w:val="001C5D14"/>
    <w:rsid w:val="001C5D80"/>
    <w:rsid w:val="001C7E06"/>
    <w:rsid w:val="001D0130"/>
    <w:rsid w:val="001D1232"/>
    <w:rsid w:val="001D20C7"/>
    <w:rsid w:val="001D4081"/>
    <w:rsid w:val="001D51AC"/>
    <w:rsid w:val="001D70EA"/>
    <w:rsid w:val="001D7F51"/>
    <w:rsid w:val="001E0290"/>
    <w:rsid w:val="001E1A30"/>
    <w:rsid w:val="001E2962"/>
    <w:rsid w:val="001E4CBB"/>
    <w:rsid w:val="001E7734"/>
    <w:rsid w:val="001E7DCF"/>
    <w:rsid w:val="001F3555"/>
    <w:rsid w:val="001F5070"/>
    <w:rsid w:val="001F5D2F"/>
    <w:rsid w:val="0020160C"/>
    <w:rsid w:val="00204984"/>
    <w:rsid w:val="0020581E"/>
    <w:rsid w:val="00207723"/>
    <w:rsid w:val="00207D4D"/>
    <w:rsid w:val="00210D90"/>
    <w:rsid w:val="00211278"/>
    <w:rsid w:val="002128A8"/>
    <w:rsid w:val="00212E75"/>
    <w:rsid w:val="00213EA7"/>
    <w:rsid w:val="00215FFE"/>
    <w:rsid w:val="002165AC"/>
    <w:rsid w:val="00217E29"/>
    <w:rsid w:val="002213CB"/>
    <w:rsid w:val="00221418"/>
    <w:rsid w:val="00223495"/>
    <w:rsid w:val="00224AE1"/>
    <w:rsid w:val="00226900"/>
    <w:rsid w:val="0022766B"/>
    <w:rsid w:val="00230334"/>
    <w:rsid w:val="00230D7D"/>
    <w:rsid w:val="00231B96"/>
    <w:rsid w:val="0023544F"/>
    <w:rsid w:val="00240346"/>
    <w:rsid w:val="00240EE6"/>
    <w:rsid w:val="00241210"/>
    <w:rsid w:val="002442BF"/>
    <w:rsid w:val="00244630"/>
    <w:rsid w:val="00244FAE"/>
    <w:rsid w:val="00246E4E"/>
    <w:rsid w:val="00246E83"/>
    <w:rsid w:val="002478E0"/>
    <w:rsid w:val="00250629"/>
    <w:rsid w:val="002507A9"/>
    <w:rsid w:val="002518C7"/>
    <w:rsid w:val="002521DD"/>
    <w:rsid w:val="00255319"/>
    <w:rsid w:val="0025782A"/>
    <w:rsid w:val="00262768"/>
    <w:rsid w:val="002637BA"/>
    <w:rsid w:val="0026383E"/>
    <w:rsid w:val="00264915"/>
    <w:rsid w:val="00265108"/>
    <w:rsid w:val="0026566E"/>
    <w:rsid w:val="00272B8F"/>
    <w:rsid w:val="00275CC9"/>
    <w:rsid w:val="00275EAE"/>
    <w:rsid w:val="002764DC"/>
    <w:rsid w:val="00277133"/>
    <w:rsid w:val="00277965"/>
    <w:rsid w:val="00280F5A"/>
    <w:rsid w:val="00282CB1"/>
    <w:rsid w:val="002908E5"/>
    <w:rsid w:val="002948F9"/>
    <w:rsid w:val="002954A7"/>
    <w:rsid w:val="00297F5B"/>
    <w:rsid w:val="002A0429"/>
    <w:rsid w:val="002A236D"/>
    <w:rsid w:val="002A3813"/>
    <w:rsid w:val="002A6CEB"/>
    <w:rsid w:val="002B79E6"/>
    <w:rsid w:val="002C0133"/>
    <w:rsid w:val="002C163C"/>
    <w:rsid w:val="002C1C2C"/>
    <w:rsid w:val="002C4454"/>
    <w:rsid w:val="002C46CC"/>
    <w:rsid w:val="002C4DEF"/>
    <w:rsid w:val="002C63B7"/>
    <w:rsid w:val="002C6CB5"/>
    <w:rsid w:val="002D3D52"/>
    <w:rsid w:val="002D5D2A"/>
    <w:rsid w:val="002D6214"/>
    <w:rsid w:val="002D7330"/>
    <w:rsid w:val="002D79B2"/>
    <w:rsid w:val="002D7AC7"/>
    <w:rsid w:val="002D7F38"/>
    <w:rsid w:val="002E0EEA"/>
    <w:rsid w:val="002E1BC3"/>
    <w:rsid w:val="002E5237"/>
    <w:rsid w:val="002E72DF"/>
    <w:rsid w:val="002F0E3B"/>
    <w:rsid w:val="002F0FBD"/>
    <w:rsid w:val="002F11CB"/>
    <w:rsid w:val="002F33D1"/>
    <w:rsid w:val="002F3644"/>
    <w:rsid w:val="002F4FC7"/>
    <w:rsid w:val="002F5783"/>
    <w:rsid w:val="002F5CAB"/>
    <w:rsid w:val="002F684A"/>
    <w:rsid w:val="002F6A86"/>
    <w:rsid w:val="002F6DF6"/>
    <w:rsid w:val="00302F61"/>
    <w:rsid w:val="00303444"/>
    <w:rsid w:val="003063DA"/>
    <w:rsid w:val="003126EB"/>
    <w:rsid w:val="003140BF"/>
    <w:rsid w:val="00315ED9"/>
    <w:rsid w:val="00316143"/>
    <w:rsid w:val="003161BF"/>
    <w:rsid w:val="003253DB"/>
    <w:rsid w:val="00326ABA"/>
    <w:rsid w:val="003271A9"/>
    <w:rsid w:val="0033121F"/>
    <w:rsid w:val="00337E70"/>
    <w:rsid w:val="00347346"/>
    <w:rsid w:val="00352400"/>
    <w:rsid w:val="003552C1"/>
    <w:rsid w:val="00356A3E"/>
    <w:rsid w:val="00356F24"/>
    <w:rsid w:val="0035780E"/>
    <w:rsid w:val="003624B6"/>
    <w:rsid w:val="003629FE"/>
    <w:rsid w:val="00362A77"/>
    <w:rsid w:val="0036737D"/>
    <w:rsid w:val="003676C8"/>
    <w:rsid w:val="00370FCC"/>
    <w:rsid w:val="003750CA"/>
    <w:rsid w:val="00382852"/>
    <w:rsid w:val="00384364"/>
    <w:rsid w:val="0038450D"/>
    <w:rsid w:val="00386540"/>
    <w:rsid w:val="00386FCB"/>
    <w:rsid w:val="00387D53"/>
    <w:rsid w:val="00390C09"/>
    <w:rsid w:val="00391CB0"/>
    <w:rsid w:val="00394CE9"/>
    <w:rsid w:val="00395054"/>
    <w:rsid w:val="003976AA"/>
    <w:rsid w:val="003A2ED9"/>
    <w:rsid w:val="003A43FA"/>
    <w:rsid w:val="003A4941"/>
    <w:rsid w:val="003A5269"/>
    <w:rsid w:val="003A54F5"/>
    <w:rsid w:val="003A5E14"/>
    <w:rsid w:val="003A6CDF"/>
    <w:rsid w:val="003A729A"/>
    <w:rsid w:val="003B06FC"/>
    <w:rsid w:val="003B350B"/>
    <w:rsid w:val="003B383F"/>
    <w:rsid w:val="003B3DD1"/>
    <w:rsid w:val="003B4AB5"/>
    <w:rsid w:val="003B4B63"/>
    <w:rsid w:val="003C1647"/>
    <w:rsid w:val="003C388F"/>
    <w:rsid w:val="003C6D00"/>
    <w:rsid w:val="003D03D3"/>
    <w:rsid w:val="003D11DB"/>
    <w:rsid w:val="003D5AEB"/>
    <w:rsid w:val="003E0614"/>
    <w:rsid w:val="003E0844"/>
    <w:rsid w:val="003E199F"/>
    <w:rsid w:val="003E3360"/>
    <w:rsid w:val="003E5359"/>
    <w:rsid w:val="003E57CA"/>
    <w:rsid w:val="003E599F"/>
    <w:rsid w:val="003F1FE8"/>
    <w:rsid w:val="004006E0"/>
    <w:rsid w:val="00400E4F"/>
    <w:rsid w:val="00401B7E"/>
    <w:rsid w:val="00405030"/>
    <w:rsid w:val="004056AF"/>
    <w:rsid w:val="00406306"/>
    <w:rsid w:val="00410690"/>
    <w:rsid w:val="00411314"/>
    <w:rsid w:val="00411C78"/>
    <w:rsid w:val="00412391"/>
    <w:rsid w:val="004154C5"/>
    <w:rsid w:val="00416CBE"/>
    <w:rsid w:val="00417514"/>
    <w:rsid w:val="00420E55"/>
    <w:rsid w:val="004236C6"/>
    <w:rsid w:val="00425D12"/>
    <w:rsid w:val="00432561"/>
    <w:rsid w:val="004325A8"/>
    <w:rsid w:val="00435E3E"/>
    <w:rsid w:val="0043690C"/>
    <w:rsid w:val="0043702C"/>
    <w:rsid w:val="00437AEB"/>
    <w:rsid w:val="00437ECF"/>
    <w:rsid w:val="004403FD"/>
    <w:rsid w:val="00440CC5"/>
    <w:rsid w:val="004410E2"/>
    <w:rsid w:val="004414EA"/>
    <w:rsid w:val="00442E67"/>
    <w:rsid w:val="00443107"/>
    <w:rsid w:val="00446D57"/>
    <w:rsid w:val="00446F11"/>
    <w:rsid w:val="00447B00"/>
    <w:rsid w:val="00451D88"/>
    <w:rsid w:val="00453D72"/>
    <w:rsid w:val="00456261"/>
    <w:rsid w:val="00456585"/>
    <w:rsid w:val="00457A56"/>
    <w:rsid w:val="00460E4D"/>
    <w:rsid w:val="004616CC"/>
    <w:rsid w:val="00462F4E"/>
    <w:rsid w:val="00463441"/>
    <w:rsid w:val="00464BF3"/>
    <w:rsid w:val="0046695E"/>
    <w:rsid w:val="00470080"/>
    <w:rsid w:val="004833FE"/>
    <w:rsid w:val="00483AE3"/>
    <w:rsid w:val="004863FE"/>
    <w:rsid w:val="00486F5D"/>
    <w:rsid w:val="00487961"/>
    <w:rsid w:val="004927E6"/>
    <w:rsid w:val="00495EC3"/>
    <w:rsid w:val="004974E6"/>
    <w:rsid w:val="004A14D2"/>
    <w:rsid w:val="004A220B"/>
    <w:rsid w:val="004A3342"/>
    <w:rsid w:val="004A53EB"/>
    <w:rsid w:val="004A6F46"/>
    <w:rsid w:val="004B0A8C"/>
    <w:rsid w:val="004B3B97"/>
    <w:rsid w:val="004B3F9B"/>
    <w:rsid w:val="004B5617"/>
    <w:rsid w:val="004C0055"/>
    <w:rsid w:val="004C0397"/>
    <w:rsid w:val="004C0E66"/>
    <w:rsid w:val="004C2212"/>
    <w:rsid w:val="004C2F2F"/>
    <w:rsid w:val="004C3836"/>
    <w:rsid w:val="004C4D87"/>
    <w:rsid w:val="004C6BBC"/>
    <w:rsid w:val="004C7298"/>
    <w:rsid w:val="004D0802"/>
    <w:rsid w:val="004D0B5E"/>
    <w:rsid w:val="004D1EC7"/>
    <w:rsid w:val="004D5452"/>
    <w:rsid w:val="004E3C3D"/>
    <w:rsid w:val="004E4049"/>
    <w:rsid w:val="004E4BC1"/>
    <w:rsid w:val="004E4BF1"/>
    <w:rsid w:val="004F1D4F"/>
    <w:rsid w:val="004F1E4A"/>
    <w:rsid w:val="004F24D5"/>
    <w:rsid w:val="004F355F"/>
    <w:rsid w:val="004F5D8B"/>
    <w:rsid w:val="004F5F85"/>
    <w:rsid w:val="004F71F7"/>
    <w:rsid w:val="005031C6"/>
    <w:rsid w:val="005032A2"/>
    <w:rsid w:val="00504A3C"/>
    <w:rsid w:val="00507952"/>
    <w:rsid w:val="00511FAF"/>
    <w:rsid w:val="00512932"/>
    <w:rsid w:val="0051469A"/>
    <w:rsid w:val="0051495A"/>
    <w:rsid w:val="0051616E"/>
    <w:rsid w:val="0051650E"/>
    <w:rsid w:val="00517930"/>
    <w:rsid w:val="0052359F"/>
    <w:rsid w:val="005235FF"/>
    <w:rsid w:val="005241F2"/>
    <w:rsid w:val="00524875"/>
    <w:rsid w:val="00525DDA"/>
    <w:rsid w:val="0052718C"/>
    <w:rsid w:val="00530907"/>
    <w:rsid w:val="00534500"/>
    <w:rsid w:val="005349B1"/>
    <w:rsid w:val="005350E7"/>
    <w:rsid w:val="00535120"/>
    <w:rsid w:val="00536E56"/>
    <w:rsid w:val="00541C51"/>
    <w:rsid w:val="005425B0"/>
    <w:rsid w:val="005432C9"/>
    <w:rsid w:val="00544D50"/>
    <w:rsid w:val="005452B4"/>
    <w:rsid w:val="00545325"/>
    <w:rsid w:val="00545607"/>
    <w:rsid w:val="0054648F"/>
    <w:rsid w:val="00546628"/>
    <w:rsid w:val="005471AA"/>
    <w:rsid w:val="00550139"/>
    <w:rsid w:val="00550954"/>
    <w:rsid w:val="005530F6"/>
    <w:rsid w:val="005547B2"/>
    <w:rsid w:val="005551DF"/>
    <w:rsid w:val="00555FCB"/>
    <w:rsid w:val="00571E37"/>
    <w:rsid w:val="00572A8F"/>
    <w:rsid w:val="00572CA0"/>
    <w:rsid w:val="00587F17"/>
    <w:rsid w:val="00590A87"/>
    <w:rsid w:val="005915C6"/>
    <w:rsid w:val="00593AC1"/>
    <w:rsid w:val="00597CF9"/>
    <w:rsid w:val="00597E59"/>
    <w:rsid w:val="005A1216"/>
    <w:rsid w:val="005A1349"/>
    <w:rsid w:val="005A24E3"/>
    <w:rsid w:val="005A2B73"/>
    <w:rsid w:val="005A6220"/>
    <w:rsid w:val="005B1300"/>
    <w:rsid w:val="005B2037"/>
    <w:rsid w:val="005B4020"/>
    <w:rsid w:val="005B408E"/>
    <w:rsid w:val="005B4E67"/>
    <w:rsid w:val="005B6809"/>
    <w:rsid w:val="005B70A6"/>
    <w:rsid w:val="005C07FF"/>
    <w:rsid w:val="005C1263"/>
    <w:rsid w:val="005C182C"/>
    <w:rsid w:val="005C2664"/>
    <w:rsid w:val="005C413E"/>
    <w:rsid w:val="005C474A"/>
    <w:rsid w:val="005C4BB9"/>
    <w:rsid w:val="005C62F2"/>
    <w:rsid w:val="005C65D8"/>
    <w:rsid w:val="005C787F"/>
    <w:rsid w:val="005D222E"/>
    <w:rsid w:val="005D4C1D"/>
    <w:rsid w:val="005D6339"/>
    <w:rsid w:val="005E04B0"/>
    <w:rsid w:val="005E3792"/>
    <w:rsid w:val="005E41D6"/>
    <w:rsid w:val="005E6106"/>
    <w:rsid w:val="005F16DF"/>
    <w:rsid w:val="005F2B1D"/>
    <w:rsid w:val="005F3880"/>
    <w:rsid w:val="005F4B79"/>
    <w:rsid w:val="005F5F95"/>
    <w:rsid w:val="00604892"/>
    <w:rsid w:val="00606AE7"/>
    <w:rsid w:val="00607398"/>
    <w:rsid w:val="006115BA"/>
    <w:rsid w:val="00611790"/>
    <w:rsid w:val="00613176"/>
    <w:rsid w:val="006142AB"/>
    <w:rsid w:val="00615F98"/>
    <w:rsid w:val="00622C7B"/>
    <w:rsid w:val="00624030"/>
    <w:rsid w:val="0062592F"/>
    <w:rsid w:val="00626C2D"/>
    <w:rsid w:val="00626EBD"/>
    <w:rsid w:val="0063353A"/>
    <w:rsid w:val="0063361C"/>
    <w:rsid w:val="00635FF8"/>
    <w:rsid w:val="00644B6D"/>
    <w:rsid w:val="00646715"/>
    <w:rsid w:val="00647D0B"/>
    <w:rsid w:val="00651671"/>
    <w:rsid w:val="00651E7D"/>
    <w:rsid w:val="00652904"/>
    <w:rsid w:val="006554B1"/>
    <w:rsid w:val="006554C4"/>
    <w:rsid w:val="006555F3"/>
    <w:rsid w:val="00655A0D"/>
    <w:rsid w:val="00656627"/>
    <w:rsid w:val="00656EB4"/>
    <w:rsid w:val="00660BA7"/>
    <w:rsid w:val="00660EE7"/>
    <w:rsid w:val="00664A1A"/>
    <w:rsid w:val="0066584B"/>
    <w:rsid w:val="006712A1"/>
    <w:rsid w:val="006762BE"/>
    <w:rsid w:val="00677797"/>
    <w:rsid w:val="00677C23"/>
    <w:rsid w:val="00680C0A"/>
    <w:rsid w:val="00682509"/>
    <w:rsid w:val="00684FF4"/>
    <w:rsid w:val="00686EFB"/>
    <w:rsid w:val="006964FE"/>
    <w:rsid w:val="00697821"/>
    <w:rsid w:val="006A02E5"/>
    <w:rsid w:val="006A1C79"/>
    <w:rsid w:val="006A2132"/>
    <w:rsid w:val="006A27B4"/>
    <w:rsid w:val="006A29F2"/>
    <w:rsid w:val="006A30C3"/>
    <w:rsid w:val="006A5780"/>
    <w:rsid w:val="006A6BB4"/>
    <w:rsid w:val="006B2051"/>
    <w:rsid w:val="006B3088"/>
    <w:rsid w:val="006C3037"/>
    <w:rsid w:val="006C3FF5"/>
    <w:rsid w:val="006C6318"/>
    <w:rsid w:val="006D16BF"/>
    <w:rsid w:val="006D1FE3"/>
    <w:rsid w:val="006D2E85"/>
    <w:rsid w:val="006D377B"/>
    <w:rsid w:val="006D51A5"/>
    <w:rsid w:val="006D61B2"/>
    <w:rsid w:val="006E012D"/>
    <w:rsid w:val="006E08A3"/>
    <w:rsid w:val="006E4C66"/>
    <w:rsid w:val="006E55E1"/>
    <w:rsid w:val="006E5CEB"/>
    <w:rsid w:val="006E63AD"/>
    <w:rsid w:val="006F25F0"/>
    <w:rsid w:val="006F3641"/>
    <w:rsid w:val="006F6EB4"/>
    <w:rsid w:val="0070015E"/>
    <w:rsid w:val="00705206"/>
    <w:rsid w:val="00705A6B"/>
    <w:rsid w:val="007079DB"/>
    <w:rsid w:val="00712508"/>
    <w:rsid w:val="00714860"/>
    <w:rsid w:val="00716AC0"/>
    <w:rsid w:val="00721391"/>
    <w:rsid w:val="00721411"/>
    <w:rsid w:val="00724A3B"/>
    <w:rsid w:val="007265E4"/>
    <w:rsid w:val="00730029"/>
    <w:rsid w:val="00731B61"/>
    <w:rsid w:val="00734EEB"/>
    <w:rsid w:val="00735A6A"/>
    <w:rsid w:val="007376D0"/>
    <w:rsid w:val="0074148A"/>
    <w:rsid w:val="00741512"/>
    <w:rsid w:val="00741D22"/>
    <w:rsid w:val="00742AAC"/>
    <w:rsid w:val="00742ACC"/>
    <w:rsid w:val="00743B95"/>
    <w:rsid w:val="007459F0"/>
    <w:rsid w:val="00746C08"/>
    <w:rsid w:val="00746C12"/>
    <w:rsid w:val="00751E5F"/>
    <w:rsid w:val="007564F3"/>
    <w:rsid w:val="00756CB4"/>
    <w:rsid w:val="00757499"/>
    <w:rsid w:val="00757E8E"/>
    <w:rsid w:val="00762181"/>
    <w:rsid w:val="00763254"/>
    <w:rsid w:val="0076608D"/>
    <w:rsid w:val="007701DA"/>
    <w:rsid w:val="007708BF"/>
    <w:rsid w:val="00771320"/>
    <w:rsid w:val="00771B33"/>
    <w:rsid w:val="00772879"/>
    <w:rsid w:val="00772D34"/>
    <w:rsid w:val="00774129"/>
    <w:rsid w:val="00775328"/>
    <w:rsid w:val="00775EF5"/>
    <w:rsid w:val="00780669"/>
    <w:rsid w:val="0078201B"/>
    <w:rsid w:val="0078302C"/>
    <w:rsid w:val="00783095"/>
    <w:rsid w:val="00783168"/>
    <w:rsid w:val="00784347"/>
    <w:rsid w:val="00784D08"/>
    <w:rsid w:val="00784DF1"/>
    <w:rsid w:val="00785173"/>
    <w:rsid w:val="007872DA"/>
    <w:rsid w:val="007909F9"/>
    <w:rsid w:val="00793261"/>
    <w:rsid w:val="00794A21"/>
    <w:rsid w:val="0079755D"/>
    <w:rsid w:val="00797E13"/>
    <w:rsid w:val="007A162F"/>
    <w:rsid w:val="007A3A20"/>
    <w:rsid w:val="007A43E6"/>
    <w:rsid w:val="007A4FDF"/>
    <w:rsid w:val="007A57CC"/>
    <w:rsid w:val="007A6D09"/>
    <w:rsid w:val="007B137F"/>
    <w:rsid w:val="007B21F8"/>
    <w:rsid w:val="007B22E7"/>
    <w:rsid w:val="007B432F"/>
    <w:rsid w:val="007B536C"/>
    <w:rsid w:val="007B5765"/>
    <w:rsid w:val="007B57A7"/>
    <w:rsid w:val="007C052F"/>
    <w:rsid w:val="007C1479"/>
    <w:rsid w:val="007C2A4E"/>
    <w:rsid w:val="007C60F1"/>
    <w:rsid w:val="007D0462"/>
    <w:rsid w:val="007D23FE"/>
    <w:rsid w:val="007D33D2"/>
    <w:rsid w:val="007D3F80"/>
    <w:rsid w:val="007D4104"/>
    <w:rsid w:val="007D43F8"/>
    <w:rsid w:val="007D5BEA"/>
    <w:rsid w:val="007E29E7"/>
    <w:rsid w:val="007E47AB"/>
    <w:rsid w:val="007E4D44"/>
    <w:rsid w:val="007E562A"/>
    <w:rsid w:val="007E79D8"/>
    <w:rsid w:val="007F2FF6"/>
    <w:rsid w:val="007F355C"/>
    <w:rsid w:val="007F38B6"/>
    <w:rsid w:val="007F7023"/>
    <w:rsid w:val="00800118"/>
    <w:rsid w:val="00801320"/>
    <w:rsid w:val="008014AE"/>
    <w:rsid w:val="00805C1B"/>
    <w:rsid w:val="00807E0F"/>
    <w:rsid w:val="0081028B"/>
    <w:rsid w:val="00812004"/>
    <w:rsid w:val="00813279"/>
    <w:rsid w:val="00813823"/>
    <w:rsid w:val="008143F1"/>
    <w:rsid w:val="00815862"/>
    <w:rsid w:val="0081622F"/>
    <w:rsid w:val="00816330"/>
    <w:rsid w:val="00816453"/>
    <w:rsid w:val="00820771"/>
    <w:rsid w:val="00820A05"/>
    <w:rsid w:val="00824D2A"/>
    <w:rsid w:val="00825C8F"/>
    <w:rsid w:val="00827520"/>
    <w:rsid w:val="00830761"/>
    <w:rsid w:val="008323C7"/>
    <w:rsid w:val="00832A1E"/>
    <w:rsid w:val="0083372D"/>
    <w:rsid w:val="008368B7"/>
    <w:rsid w:val="00837F3A"/>
    <w:rsid w:val="00841029"/>
    <w:rsid w:val="008432EA"/>
    <w:rsid w:val="008457C1"/>
    <w:rsid w:val="00845EE1"/>
    <w:rsid w:val="008466F1"/>
    <w:rsid w:val="0084789E"/>
    <w:rsid w:val="00847E57"/>
    <w:rsid w:val="0085356E"/>
    <w:rsid w:val="0085416C"/>
    <w:rsid w:val="0085437F"/>
    <w:rsid w:val="0085635F"/>
    <w:rsid w:val="00861504"/>
    <w:rsid w:val="008658E6"/>
    <w:rsid w:val="0087119F"/>
    <w:rsid w:val="00871F7A"/>
    <w:rsid w:val="00873278"/>
    <w:rsid w:val="0087387C"/>
    <w:rsid w:val="008762AB"/>
    <w:rsid w:val="008767C1"/>
    <w:rsid w:val="00880BDD"/>
    <w:rsid w:val="00880E0C"/>
    <w:rsid w:val="00883F0D"/>
    <w:rsid w:val="00884677"/>
    <w:rsid w:val="008871F5"/>
    <w:rsid w:val="008873EC"/>
    <w:rsid w:val="0089177E"/>
    <w:rsid w:val="00892E3F"/>
    <w:rsid w:val="00893D88"/>
    <w:rsid w:val="008A3FB0"/>
    <w:rsid w:val="008B1EAE"/>
    <w:rsid w:val="008B43F9"/>
    <w:rsid w:val="008B5B2C"/>
    <w:rsid w:val="008C0ADA"/>
    <w:rsid w:val="008C0DFC"/>
    <w:rsid w:val="008C1190"/>
    <w:rsid w:val="008C60D5"/>
    <w:rsid w:val="008C6117"/>
    <w:rsid w:val="008C67C9"/>
    <w:rsid w:val="008D39DA"/>
    <w:rsid w:val="008D677C"/>
    <w:rsid w:val="008D773D"/>
    <w:rsid w:val="008E1DEB"/>
    <w:rsid w:val="008E3D46"/>
    <w:rsid w:val="008E44C6"/>
    <w:rsid w:val="008E5E09"/>
    <w:rsid w:val="008F2D48"/>
    <w:rsid w:val="008F2FAD"/>
    <w:rsid w:val="008F38F4"/>
    <w:rsid w:val="008F7B0C"/>
    <w:rsid w:val="00901588"/>
    <w:rsid w:val="00901C73"/>
    <w:rsid w:val="009033D1"/>
    <w:rsid w:val="00903F37"/>
    <w:rsid w:val="00903FCC"/>
    <w:rsid w:val="00904D9E"/>
    <w:rsid w:val="0090520F"/>
    <w:rsid w:val="009058D6"/>
    <w:rsid w:val="0090605D"/>
    <w:rsid w:val="00906BFE"/>
    <w:rsid w:val="00906E5F"/>
    <w:rsid w:val="0091014D"/>
    <w:rsid w:val="009104D4"/>
    <w:rsid w:val="00912060"/>
    <w:rsid w:val="0091261A"/>
    <w:rsid w:val="009161CF"/>
    <w:rsid w:val="009212E1"/>
    <w:rsid w:val="00921D2A"/>
    <w:rsid w:val="00921E5A"/>
    <w:rsid w:val="00925C68"/>
    <w:rsid w:val="00931964"/>
    <w:rsid w:val="00931E5C"/>
    <w:rsid w:val="00934503"/>
    <w:rsid w:val="009350F2"/>
    <w:rsid w:val="0093600B"/>
    <w:rsid w:val="00936059"/>
    <w:rsid w:val="00936247"/>
    <w:rsid w:val="009443F3"/>
    <w:rsid w:val="00945DFA"/>
    <w:rsid w:val="009469F5"/>
    <w:rsid w:val="00951942"/>
    <w:rsid w:val="00954FA0"/>
    <w:rsid w:val="00955610"/>
    <w:rsid w:val="00962695"/>
    <w:rsid w:val="00963D46"/>
    <w:rsid w:val="00965C47"/>
    <w:rsid w:val="009663D5"/>
    <w:rsid w:val="00966947"/>
    <w:rsid w:val="009671F3"/>
    <w:rsid w:val="0097053F"/>
    <w:rsid w:val="00972FE0"/>
    <w:rsid w:val="009737BE"/>
    <w:rsid w:val="00973E03"/>
    <w:rsid w:val="00973FBE"/>
    <w:rsid w:val="00974E1C"/>
    <w:rsid w:val="00976A10"/>
    <w:rsid w:val="0097741A"/>
    <w:rsid w:val="009821FE"/>
    <w:rsid w:val="0098595E"/>
    <w:rsid w:val="00991DD8"/>
    <w:rsid w:val="009943F2"/>
    <w:rsid w:val="00995757"/>
    <w:rsid w:val="009A0DA8"/>
    <w:rsid w:val="009A2B1A"/>
    <w:rsid w:val="009A6F74"/>
    <w:rsid w:val="009B124C"/>
    <w:rsid w:val="009B3448"/>
    <w:rsid w:val="009B51B6"/>
    <w:rsid w:val="009B6138"/>
    <w:rsid w:val="009B6726"/>
    <w:rsid w:val="009B6A6A"/>
    <w:rsid w:val="009B767A"/>
    <w:rsid w:val="009B7F65"/>
    <w:rsid w:val="009C218A"/>
    <w:rsid w:val="009C40F2"/>
    <w:rsid w:val="009C5108"/>
    <w:rsid w:val="009D1119"/>
    <w:rsid w:val="009D2FDE"/>
    <w:rsid w:val="009D41A6"/>
    <w:rsid w:val="009D41FE"/>
    <w:rsid w:val="009D63D5"/>
    <w:rsid w:val="009D6635"/>
    <w:rsid w:val="009D774E"/>
    <w:rsid w:val="009E306F"/>
    <w:rsid w:val="009E39B5"/>
    <w:rsid w:val="009F026B"/>
    <w:rsid w:val="009F1385"/>
    <w:rsid w:val="009F1D62"/>
    <w:rsid w:val="009F1E9E"/>
    <w:rsid w:val="009F4720"/>
    <w:rsid w:val="00A00061"/>
    <w:rsid w:val="00A002D8"/>
    <w:rsid w:val="00A0048A"/>
    <w:rsid w:val="00A01006"/>
    <w:rsid w:val="00A0228E"/>
    <w:rsid w:val="00A04DE5"/>
    <w:rsid w:val="00A0598B"/>
    <w:rsid w:val="00A07CAF"/>
    <w:rsid w:val="00A107C4"/>
    <w:rsid w:val="00A120EF"/>
    <w:rsid w:val="00A14AAD"/>
    <w:rsid w:val="00A17CE6"/>
    <w:rsid w:val="00A209BC"/>
    <w:rsid w:val="00A21478"/>
    <w:rsid w:val="00A22FCF"/>
    <w:rsid w:val="00A23C63"/>
    <w:rsid w:val="00A260FF"/>
    <w:rsid w:val="00A26D8F"/>
    <w:rsid w:val="00A279FC"/>
    <w:rsid w:val="00A27B71"/>
    <w:rsid w:val="00A343BF"/>
    <w:rsid w:val="00A35309"/>
    <w:rsid w:val="00A372A9"/>
    <w:rsid w:val="00A43435"/>
    <w:rsid w:val="00A443FA"/>
    <w:rsid w:val="00A44598"/>
    <w:rsid w:val="00A47831"/>
    <w:rsid w:val="00A510E8"/>
    <w:rsid w:val="00A54321"/>
    <w:rsid w:val="00A550BA"/>
    <w:rsid w:val="00A607F1"/>
    <w:rsid w:val="00A65DD6"/>
    <w:rsid w:val="00A6623D"/>
    <w:rsid w:val="00A663D5"/>
    <w:rsid w:val="00A669DC"/>
    <w:rsid w:val="00A70B4E"/>
    <w:rsid w:val="00A729E2"/>
    <w:rsid w:val="00A737EE"/>
    <w:rsid w:val="00A7408E"/>
    <w:rsid w:val="00A75A7E"/>
    <w:rsid w:val="00A80328"/>
    <w:rsid w:val="00A81205"/>
    <w:rsid w:val="00A81BBF"/>
    <w:rsid w:val="00A826E2"/>
    <w:rsid w:val="00A84A71"/>
    <w:rsid w:val="00A87DF7"/>
    <w:rsid w:val="00A913B4"/>
    <w:rsid w:val="00A92469"/>
    <w:rsid w:val="00A926C3"/>
    <w:rsid w:val="00A92FC4"/>
    <w:rsid w:val="00A9406F"/>
    <w:rsid w:val="00A94AB3"/>
    <w:rsid w:val="00A95054"/>
    <w:rsid w:val="00A9698A"/>
    <w:rsid w:val="00A96FF1"/>
    <w:rsid w:val="00AA1F61"/>
    <w:rsid w:val="00AA47C4"/>
    <w:rsid w:val="00AA75AD"/>
    <w:rsid w:val="00AA7D2C"/>
    <w:rsid w:val="00AB025C"/>
    <w:rsid w:val="00AB04B0"/>
    <w:rsid w:val="00AB2188"/>
    <w:rsid w:val="00AB26E8"/>
    <w:rsid w:val="00AB6BE8"/>
    <w:rsid w:val="00AC32AC"/>
    <w:rsid w:val="00AC7BEE"/>
    <w:rsid w:val="00AD18A4"/>
    <w:rsid w:val="00AD2347"/>
    <w:rsid w:val="00AD29FD"/>
    <w:rsid w:val="00AD3CAE"/>
    <w:rsid w:val="00AD5A67"/>
    <w:rsid w:val="00AD5EE8"/>
    <w:rsid w:val="00AD6E49"/>
    <w:rsid w:val="00AD73CC"/>
    <w:rsid w:val="00AD7B70"/>
    <w:rsid w:val="00AD7E5B"/>
    <w:rsid w:val="00AE09C5"/>
    <w:rsid w:val="00AE1D60"/>
    <w:rsid w:val="00AE24F9"/>
    <w:rsid w:val="00AE3613"/>
    <w:rsid w:val="00AE5198"/>
    <w:rsid w:val="00AE6962"/>
    <w:rsid w:val="00AE6CB7"/>
    <w:rsid w:val="00AF1949"/>
    <w:rsid w:val="00AF3622"/>
    <w:rsid w:val="00AF49AD"/>
    <w:rsid w:val="00AF746C"/>
    <w:rsid w:val="00B01F4D"/>
    <w:rsid w:val="00B057C7"/>
    <w:rsid w:val="00B06026"/>
    <w:rsid w:val="00B062BB"/>
    <w:rsid w:val="00B10D39"/>
    <w:rsid w:val="00B11DCD"/>
    <w:rsid w:val="00B20425"/>
    <w:rsid w:val="00B20B1F"/>
    <w:rsid w:val="00B21F8C"/>
    <w:rsid w:val="00B26748"/>
    <w:rsid w:val="00B26A3C"/>
    <w:rsid w:val="00B30DDA"/>
    <w:rsid w:val="00B34DF1"/>
    <w:rsid w:val="00B34ED4"/>
    <w:rsid w:val="00B357AE"/>
    <w:rsid w:val="00B35C6E"/>
    <w:rsid w:val="00B36E07"/>
    <w:rsid w:val="00B40355"/>
    <w:rsid w:val="00B43A66"/>
    <w:rsid w:val="00B4451F"/>
    <w:rsid w:val="00B4479D"/>
    <w:rsid w:val="00B44A1F"/>
    <w:rsid w:val="00B44EFB"/>
    <w:rsid w:val="00B4580F"/>
    <w:rsid w:val="00B466C8"/>
    <w:rsid w:val="00B47962"/>
    <w:rsid w:val="00B47C82"/>
    <w:rsid w:val="00B53194"/>
    <w:rsid w:val="00B53B34"/>
    <w:rsid w:val="00B53C1C"/>
    <w:rsid w:val="00B54AEF"/>
    <w:rsid w:val="00B559AD"/>
    <w:rsid w:val="00B57772"/>
    <w:rsid w:val="00B61FFE"/>
    <w:rsid w:val="00B62BF3"/>
    <w:rsid w:val="00B635C9"/>
    <w:rsid w:val="00B63753"/>
    <w:rsid w:val="00B63B4F"/>
    <w:rsid w:val="00B63F14"/>
    <w:rsid w:val="00B66050"/>
    <w:rsid w:val="00B664D5"/>
    <w:rsid w:val="00B67F7D"/>
    <w:rsid w:val="00B7079D"/>
    <w:rsid w:val="00B71143"/>
    <w:rsid w:val="00B718B2"/>
    <w:rsid w:val="00B73235"/>
    <w:rsid w:val="00B734FE"/>
    <w:rsid w:val="00B74CDC"/>
    <w:rsid w:val="00B7773F"/>
    <w:rsid w:val="00B83159"/>
    <w:rsid w:val="00B83F3D"/>
    <w:rsid w:val="00B83F5F"/>
    <w:rsid w:val="00B84624"/>
    <w:rsid w:val="00B84774"/>
    <w:rsid w:val="00B8623C"/>
    <w:rsid w:val="00B90FC3"/>
    <w:rsid w:val="00B911BF"/>
    <w:rsid w:val="00B915A3"/>
    <w:rsid w:val="00B915BB"/>
    <w:rsid w:val="00B92278"/>
    <w:rsid w:val="00B92DA8"/>
    <w:rsid w:val="00B945B0"/>
    <w:rsid w:val="00B96067"/>
    <w:rsid w:val="00BA0029"/>
    <w:rsid w:val="00BA14FD"/>
    <w:rsid w:val="00BA6BFE"/>
    <w:rsid w:val="00BB1CED"/>
    <w:rsid w:val="00BB1E86"/>
    <w:rsid w:val="00BB23F0"/>
    <w:rsid w:val="00BB4730"/>
    <w:rsid w:val="00BB5409"/>
    <w:rsid w:val="00BB5493"/>
    <w:rsid w:val="00BC228C"/>
    <w:rsid w:val="00BC5ABD"/>
    <w:rsid w:val="00BD34A9"/>
    <w:rsid w:val="00BD38F0"/>
    <w:rsid w:val="00BD598C"/>
    <w:rsid w:val="00BE45C7"/>
    <w:rsid w:val="00BF1C2F"/>
    <w:rsid w:val="00BF5981"/>
    <w:rsid w:val="00C00B6D"/>
    <w:rsid w:val="00C01699"/>
    <w:rsid w:val="00C0249B"/>
    <w:rsid w:val="00C02610"/>
    <w:rsid w:val="00C02E7B"/>
    <w:rsid w:val="00C04404"/>
    <w:rsid w:val="00C06784"/>
    <w:rsid w:val="00C21C11"/>
    <w:rsid w:val="00C249D0"/>
    <w:rsid w:val="00C27CFD"/>
    <w:rsid w:val="00C31A2C"/>
    <w:rsid w:val="00C33ACA"/>
    <w:rsid w:val="00C40390"/>
    <w:rsid w:val="00C427FD"/>
    <w:rsid w:val="00C4496E"/>
    <w:rsid w:val="00C51D3A"/>
    <w:rsid w:val="00C54860"/>
    <w:rsid w:val="00C55AC7"/>
    <w:rsid w:val="00C56F1F"/>
    <w:rsid w:val="00C56F5D"/>
    <w:rsid w:val="00C57C1B"/>
    <w:rsid w:val="00C66ABC"/>
    <w:rsid w:val="00C66D83"/>
    <w:rsid w:val="00C67503"/>
    <w:rsid w:val="00C71275"/>
    <w:rsid w:val="00C74E4E"/>
    <w:rsid w:val="00C76BCD"/>
    <w:rsid w:val="00C80118"/>
    <w:rsid w:val="00C80605"/>
    <w:rsid w:val="00C81305"/>
    <w:rsid w:val="00C85855"/>
    <w:rsid w:val="00C873F1"/>
    <w:rsid w:val="00C91091"/>
    <w:rsid w:val="00C92CD9"/>
    <w:rsid w:val="00C94DDD"/>
    <w:rsid w:val="00CA2234"/>
    <w:rsid w:val="00CA3511"/>
    <w:rsid w:val="00CA3EDC"/>
    <w:rsid w:val="00CA44A7"/>
    <w:rsid w:val="00CA5695"/>
    <w:rsid w:val="00CA5C0E"/>
    <w:rsid w:val="00CB06E0"/>
    <w:rsid w:val="00CB1508"/>
    <w:rsid w:val="00CB19AE"/>
    <w:rsid w:val="00CB3CD4"/>
    <w:rsid w:val="00CB57C9"/>
    <w:rsid w:val="00CC30A2"/>
    <w:rsid w:val="00CD06A6"/>
    <w:rsid w:val="00CD15AB"/>
    <w:rsid w:val="00CD22C2"/>
    <w:rsid w:val="00CD2706"/>
    <w:rsid w:val="00CD4C22"/>
    <w:rsid w:val="00CD586A"/>
    <w:rsid w:val="00CD61F9"/>
    <w:rsid w:val="00CE08C9"/>
    <w:rsid w:val="00CE23C0"/>
    <w:rsid w:val="00CE27CB"/>
    <w:rsid w:val="00CE317A"/>
    <w:rsid w:val="00CE67B0"/>
    <w:rsid w:val="00CE73E7"/>
    <w:rsid w:val="00CE77C2"/>
    <w:rsid w:val="00CF4099"/>
    <w:rsid w:val="00CF7761"/>
    <w:rsid w:val="00D00F68"/>
    <w:rsid w:val="00D02679"/>
    <w:rsid w:val="00D02DEA"/>
    <w:rsid w:val="00D04069"/>
    <w:rsid w:val="00D04279"/>
    <w:rsid w:val="00D0598F"/>
    <w:rsid w:val="00D05A6F"/>
    <w:rsid w:val="00D06746"/>
    <w:rsid w:val="00D06C06"/>
    <w:rsid w:val="00D11296"/>
    <w:rsid w:val="00D1516D"/>
    <w:rsid w:val="00D15948"/>
    <w:rsid w:val="00D24A4D"/>
    <w:rsid w:val="00D25934"/>
    <w:rsid w:val="00D26B6B"/>
    <w:rsid w:val="00D27B7C"/>
    <w:rsid w:val="00D3195A"/>
    <w:rsid w:val="00D33AC4"/>
    <w:rsid w:val="00D36A79"/>
    <w:rsid w:val="00D42E6C"/>
    <w:rsid w:val="00D46608"/>
    <w:rsid w:val="00D52DA7"/>
    <w:rsid w:val="00D5617D"/>
    <w:rsid w:val="00D62005"/>
    <w:rsid w:val="00D63D60"/>
    <w:rsid w:val="00D6408B"/>
    <w:rsid w:val="00D647A0"/>
    <w:rsid w:val="00D64C6E"/>
    <w:rsid w:val="00D65562"/>
    <w:rsid w:val="00D707A2"/>
    <w:rsid w:val="00D72508"/>
    <w:rsid w:val="00D73E85"/>
    <w:rsid w:val="00D75193"/>
    <w:rsid w:val="00D77BAF"/>
    <w:rsid w:val="00D841C8"/>
    <w:rsid w:val="00D8552C"/>
    <w:rsid w:val="00D900CB"/>
    <w:rsid w:val="00D902E1"/>
    <w:rsid w:val="00D903CB"/>
    <w:rsid w:val="00D957D2"/>
    <w:rsid w:val="00D96060"/>
    <w:rsid w:val="00DA0E30"/>
    <w:rsid w:val="00DA45BF"/>
    <w:rsid w:val="00DA507D"/>
    <w:rsid w:val="00DA54DE"/>
    <w:rsid w:val="00DA72F1"/>
    <w:rsid w:val="00DC25D7"/>
    <w:rsid w:val="00DC5AD3"/>
    <w:rsid w:val="00DC6678"/>
    <w:rsid w:val="00DC6BF0"/>
    <w:rsid w:val="00DD1BE4"/>
    <w:rsid w:val="00DD1CAF"/>
    <w:rsid w:val="00DD1EE8"/>
    <w:rsid w:val="00DD2392"/>
    <w:rsid w:val="00DD56E8"/>
    <w:rsid w:val="00DE085C"/>
    <w:rsid w:val="00DE1232"/>
    <w:rsid w:val="00DE14F4"/>
    <w:rsid w:val="00DE26F3"/>
    <w:rsid w:val="00DF13F7"/>
    <w:rsid w:val="00DF2E83"/>
    <w:rsid w:val="00DF4455"/>
    <w:rsid w:val="00DF564E"/>
    <w:rsid w:val="00DF5D6F"/>
    <w:rsid w:val="00DF5E7C"/>
    <w:rsid w:val="00DF6A44"/>
    <w:rsid w:val="00DF7797"/>
    <w:rsid w:val="00DF79ED"/>
    <w:rsid w:val="00E03395"/>
    <w:rsid w:val="00E0535D"/>
    <w:rsid w:val="00E0536E"/>
    <w:rsid w:val="00E06BF3"/>
    <w:rsid w:val="00E06CD2"/>
    <w:rsid w:val="00E07703"/>
    <w:rsid w:val="00E07BAA"/>
    <w:rsid w:val="00E11978"/>
    <w:rsid w:val="00E1337B"/>
    <w:rsid w:val="00E13AEA"/>
    <w:rsid w:val="00E152B7"/>
    <w:rsid w:val="00E15521"/>
    <w:rsid w:val="00E16552"/>
    <w:rsid w:val="00E1702F"/>
    <w:rsid w:val="00E17ADE"/>
    <w:rsid w:val="00E17BCA"/>
    <w:rsid w:val="00E20876"/>
    <w:rsid w:val="00E213DA"/>
    <w:rsid w:val="00E2178A"/>
    <w:rsid w:val="00E21909"/>
    <w:rsid w:val="00E22989"/>
    <w:rsid w:val="00E2345D"/>
    <w:rsid w:val="00E24272"/>
    <w:rsid w:val="00E26D28"/>
    <w:rsid w:val="00E2710B"/>
    <w:rsid w:val="00E30176"/>
    <w:rsid w:val="00E31A8D"/>
    <w:rsid w:val="00E32723"/>
    <w:rsid w:val="00E338B2"/>
    <w:rsid w:val="00E34A13"/>
    <w:rsid w:val="00E358BB"/>
    <w:rsid w:val="00E36B59"/>
    <w:rsid w:val="00E3750C"/>
    <w:rsid w:val="00E40141"/>
    <w:rsid w:val="00E422A6"/>
    <w:rsid w:val="00E4250A"/>
    <w:rsid w:val="00E430CC"/>
    <w:rsid w:val="00E43241"/>
    <w:rsid w:val="00E43DFE"/>
    <w:rsid w:val="00E4481C"/>
    <w:rsid w:val="00E450FB"/>
    <w:rsid w:val="00E45F56"/>
    <w:rsid w:val="00E45F6E"/>
    <w:rsid w:val="00E47A53"/>
    <w:rsid w:val="00E500EF"/>
    <w:rsid w:val="00E52A57"/>
    <w:rsid w:val="00E53C95"/>
    <w:rsid w:val="00E53C9C"/>
    <w:rsid w:val="00E54192"/>
    <w:rsid w:val="00E5500F"/>
    <w:rsid w:val="00E55578"/>
    <w:rsid w:val="00E555E8"/>
    <w:rsid w:val="00E56786"/>
    <w:rsid w:val="00E57F40"/>
    <w:rsid w:val="00E63135"/>
    <w:rsid w:val="00E637EC"/>
    <w:rsid w:val="00E64080"/>
    <w:rsid w:val="00E67713"/>
    <w:rsid w:val="00E75C57"/>
    <w:rsid w:val="00E76A2E"/>
    <w:rsid w:val="00E76ADC"/>
    <w:rsid w:val="00E77410"/>
    <w:rsid w:val="00E8486D"/>
    <w:rsid w:val="00E85532"/>
    <w:rsid w:val="00E86043"/>
    <w:rsid w:val="00E8759F"/>
    <w:rsid w:val="00E8777C"/>
    <w:rsid w:val="00E87C4E"/>
    <w:rsid w:val="00E91F3D"/>
    <w:rsid w:val="00E93345"/>
    <w:rsid w:val="00E93EC6"/>
    <w:rsid w:val="00E948BF"/>
    <w:rsid w:val="00E95298"/>
    <w:rsid w:val="00E959A0"/>
    <w:rsid w:val="00E959C3"/>
    <w:rsid w:val="00E97FD8"/>
    <w:rsid w:val="00EA1841"/>
    <w:rsid w:val="00EA668E"/>
    <w:rsid w:val="00EA7363"/>
    <w:rsid w:val="00EB0A30"/>
    <w:rsid w:val="00EB366B"/>
    <w:rsid w:val="00EB6544"/>
    <w:rsid w:val="00EB77BB"/>
    <w:rsid w:val="00EC2BF1"/>
    <w:rsid w:val="00EC43D9"/>
    <w:rsid w:val="00EC54EB"/>
    <w:rsid w:val="00EC6417"/>
    <w:rsid w:val="00EC77C8"/>
    <w:rsid w:val="00EC7E94"/>
    <w:rsid w:val="00ED21E0"/>
    <w:rsid w:val="00ED2649"/>
    <w:rsid w:val="00ED26D6"/>
    <w:rsid w:val="00ED4DED"/>
    <w:rsid w:val="00ED5111"/>
    <w:rsid w:val="00ED61CD"/>
    <w:rsid w:val="00ED67E1"/>
    <w:rsid w:val="00EE011B"/>
    <w:rsid w:val="00EE0A2B"/>
    <w:rsid w:val="00EE402F"/>
    <w:rsid w:val="00EE4EF8"/>
    <w:rsid w:val="00EF1AD2"/>
    <w:rsid w:val="00EF3D5A"/>
    <w:rsid w:val="00EF7926"/>
    <w:rsid w:val="00F04FC9"/>
    <w:rsid w:val="00F0582C"/>
    <w:rsid w:val="00F072F8"/>
    <w:rsid w:val="00F117EA"/>
    <w:rsid w:val="00F14A04"/>
    <w:rsid w:val="00F15586"/>
    <w:rsid w:val="00F16E4E"/>
    <w:rsid w:val="00F174BC"/>
    <w:rsid w:val="00F20A20"/>
    <w:rsid w:val="00F226EE"/>
    <w:rsid w:val="00F239EF"/>
    <w:rsid w:val="00F23CCB"/>
    <w:rsid w:val="00F25C8E"/>
    <w:rsid w:val="00F25FA7"/>
    <w:rsid w:val="00F2675B"/>
    <w:rsid w:val="00F30EC4"/>
    <w:rsid w:val="00F32A04"/>
    <w:rsid w:val="00F32AE3"/>
    <w:rsid w:val="00F33669"/>
    <w:rsid w:val="00F3480A"/>
    <w:rsid w:val="00F353F0"/>
    <w:rsid w:val="00F40F30"/>
    <w:rsid w:val="00F44ABA"/>
    <w:rsid w:val="00F45BFB"/>
    <w:rsid w:val="00F51B4A"/>
    <w:rsid w:val="00F51B59"/>
    <w:rsid w:val="00F53523"/>
    <w:rsid w:val="00F5427F"/>
    <w:rsid w:val="00F60327"/>
    <w:rsid w:val="00F603AF"/>
    <w:rsid w:val="00F60BF5"/>
    <w:rsid w:val="00F61FA6"/>
    <w:rsid w:val="00F6634A"/>
    <w:rsid w:val="00F66CCD"/>
    <w:rsid w:val="00F67440"/>
    <w:rsid w:val="00F67CB5"/>
    <w:rsid w:val="00F70FE8"/>
    <w:rsid w:val="00F715B7"/>
    <w:rsid w:val="00F72F0C"/>
    <w:rsid w:val="00F7475D"/>
    <w:rsid w:val="00F75534"/>
    <w:rsid w:val="00F76E5F"/>
    <w:rsid w:val="00F77084"/>
    <w:rsid w:val="00F8037F"/>
    <w:rsid w:val="00F82742"/>
    <w:rsid w:val="00F83980"/>
    <w:rsid w:val="00F8619F"/>
    <w:rsid w:val="00F9107A"/>
    <w:rsid w:val="00F92407"/>
    <w:rsid w:val="00F92706"/>
    <w:rsid w:val="00FA1237"/>
    <w:rsid w:val="00FA24B4"/>
    <w:rsid w:val="00FA294C"/>
    <w:rsid w:val="00FA3A41"/>
    <w:rsid w:val="00FA5127"/>
    <w:rsid w:val="00FA686E"/>
    <w:rsid w:val="00FB0C0C"/>
    <w:rsid w:val="00FB1491"/>
    <w:rsid w:val="00FB2A70"/>
    <w:rsid w:val="00FB4024"/>
    <w:rsid w:val="00FB69B7"/>
    <w:rsid w:val="00FB7A64"/>
    <w:rsid w:val="00FB7B75"/>
    <w:rsid w:val="00FC3953"/>
    <w:rsid w:val="00FD1AF4"/>
    <w:rsid w:val="00FD214C"/>
    <w:rsid w:val="00FD3B7F"/>
    <w:rsid w:val="00FD47B2"/>
    <w:rsid w:val="00FD596F"/>
    <w:rsid w:val="00FD5B86"/>
    <w:rsid w:val="00FD600A"/>
    <w:rsid w:val="00FD6183"/>
    <w:rsid w:val="00FD63BE"/>
    <w:rsid w:val="00FE145A"/>
    <w:rsid w:val="00FE6197"/>
    <w:rsid w:val="00FE7F11"/>
    <w:rsid w:val="00FF09C4"/>
    <w:rsid w:val="00FF14D0"/>
    <w:rsid w:val="00FF1537"/>
    <w:rsid w:val="00FF4B8C"/>
    <w:rsid w:val="00FF5C8A"/>
    <w:rsid w:val="00FF5E6A"/>
    <w:rsid w:val="00FF7E5D"/>
    <w:rsid w:val="019F796A"/>
    <w:rsid w:val="029E1EFD"/>
    <w:rsid w:val="029F206C"/>
    <w:rsid w:val="02B22D8B"/>
    <w:rsid w:val="03254768"/>
    <w:rsid w:val="03540E73"/>
    <w:rsid w:val="04934DC5"/>
    <w:rsid w:val="04AC1815"/>
    <w:rsid w:val="051A0308"/>
    <w:rsid w:val="05364062"/>
    <w:rsid w:val="05811712"/>
    <w:rsid w:val="05CF7D50"/>
    <w:rsid w:val="064E3092"/>
    <w:rsid w:val="08670714"/>
    <w:rsid w:val="08796D59"/>
    <w:rsid w:val="08DC52C1"/>
    <w:rsid w:val="0921646E"/>
    <w:rsid w:val="0A3C09DD"/>
    <w:rsid w:val="0ABB5CA9"/>
    <w:rsid w:val="0E500254"/>
    <w:rsid w:val="0E6364AD"/>
    <w:rsid w:val="0F207C0E"/>
    <w:rsid w:val="10DD3195"/>
    <w:rsid w:val="11372AE0"/>
    <w:rsid w:val="120A054F"/>
    <w:rsid w:val="1225210F"/>
    <w:rsid w:val="13185CE0"/>
    <w:rsid w:val="13486643"/>
    <w:rsid w:val="146D0DF1"/>
    <w:rsid w:val="14A74E5B"/>
    <w:rsid w:val="14B55B80"/>
    <w:rsid w:val="151B4259"/>
    <w:rsid w:val="15B6536B"/>
    <w:rsid w:val="15FA757F"/>
    <w:rsid w:val="16315149"/>
    <w:rsid w:val="163F1266"/>
    <w:rsid w:val="16451029"/>
    <w:rsid w:val="16D67BAD"/>
    <w:rsid w:val="16EC6A0B"/>
    <w:rsid w:val="18153800"/>
    <w:rsid w:val="18D91E13"/>
    <w:rsid w:val="19542002"/>
    <w:rsid w:val="19B73661"/>
    <w:rsid w:val="1A9127C6"/>
    <w:rsid w:val="1AFD4178"/>
    <w:rsid w:val="1B1B0FCE"/>
    <w:rsid w:val="1B344FA7"/>
    <w:rsid w:val="1C8E7C4F"/>
    <w:rsid w:val="1CCB1376"/>
    <w:rsid w:val="1D1445C7"/>
    <w:rsid w:val="1D7F469C"/>
    <w:rsid w:val="1D8346D7"/>
    <w:rsid w:val="1E1A4376"/>
    <w:rsid w:val="1E706F77"/>
    <w:rsid w:val="200E26C0"/>
    <w:rsid w:val="21A6673C"/>
    <w:rsid w:val="21E37AFC"/>
    <w:rsid w:val="21F718DF"/>
    <w:rsid w:val="21FF4A16"/>
    <w:rsid w:val="223D509D"/>
    <w:rsid w:val="22957DBA"/>
    <w:rsid w:val="22D924B7"/>
    <w:rsid w:val="235579E2"/>
    <w:rsid w:val="242B1BBD"/>
    <w:rsid w:val="25AF0702"/>
    <w:rsid w:val="25B028C2"/>
    <w:rsid w:val="261365A7"/>
    <w:rsid w:val="262C5435"/>
    <w:rsid w:val="27B82520"/>
    <w:rsid w:val="280D2DFC"/>
    <w:rsid w:val="28140E7B"/>
    <w:rsid w:val="286B5DC2"/>
    <w:rsid w:val="28C800E0"/>
    <w:rsid w:val="2957744B"/>
    <w:rsid w:val="29E5108E"/>
    <w:rsid w:val="2A3A486D"/>
    <w:rsid w:val="2BE046CB"/>
    <w:rsid w:val="2C09185D"/>
    <w:rsid w:val="2C0A4BA0"/>
    <w:rsid w:val="2D205502"/>
    <w:rsid w:val="2DA54EAA"/>
    <w:rsid w:val="2DBD0570"/>
    <w:rsid w:val="2EB02DB3"/>
    <w:rsid w:val="2EB260DE"/>
    <w:rsid w:val="2EC36F3A"/>
    <w:rsid w:val="304877CC"/>
    <w:rsid w:val="305506FF"/>
    <w:rsid w:val="307C6E90"/>
    <w:rsid w:val="31753180"/>
    <w:rsid w:val="319F2094"/>
    <w:rsid w:val="32E679AF"/>
    <w:rsid w:val="34855B24"/>
    <w:rsid w:val="34D64856"/>
    <w:rsid w:val="35E900DF"/>
    <w:rsid w:val="3686570B"/>
    <w:rsid w:val="368B2B7C"/>
    <w:rsid w:val="36F81CBC"/>
    <w:rsid w:val="373B5973"/>
    <w:rsid w:val="3742165B"/>
    <w:rsid w:val="37886ED0"/>
    <w:rsid w:val="37B9085F"/>
    <w:rsid w:val="38B7274C"/>
    <w:rsid w:val="38C86D63"/>
    <w:rsid w:val="38F041D8"/>
    <w:rsid w:val="3AF630AE"/>
    <w:rsid w:val="3B7C7109"/>
    <w:rsid w:val="3BF77B60"/>
    <w:rsid w:val="3C770ADF"/>
    <w:rsid w:val="3CA21C8C"/>
    <w:rsid w:val="3D45361A"/>
    <w:rsid w:val="3D625823"/>
    <w:rsid w:val="3D6F32B5"/>
    <w:rsid w:val="3DBD1A13"/>
    <w:rsid w:val="3E0B2BCE"/>
    <w:rsid w:val="3E6821AD"/>
    <w:rsid w:val="3F1F265A"/>
    <w:rsid w:val="3F58666C"/>
    <w:rsid w:val="3F8B6936"/>
    <w:rsid w:val="400D3E3B"/>
    <w:rsid w:val="401F6701"/>
    <w:rsid w:val="41733301"/>
    <w:rsid w:val="419E69CD"/>
    <w:rsid w:val="420D4CFF"/>
    <w:rsid w:val="43150754"/>
    <w:rsid w:val="43C23247"/>
    <w:rsid w:val="44BA3124"/>
    <w:rsid w:val="45123A14"/>
    <w:rsid w:val="45BE56D8"/>
    <w:rsid w:val="46755135"/>
    <w:rsid w:val="46C57C44"/>
    <w:rsid w:val="47AE1758"/>
    <w:rsid w:val="48084A0A"/>
    <w:rsid w:val="48A35DC3"/>
    <w:rsid w:val="4A9A0F36"/>
    <w:rsid w:val="4B11660C"/>
    <w:rsid w:val="4B355EDF"/>
    <w:rsid w:val="4B523014"/>
    <w:rsid w:val="4C000371"/>
    <w:rsid w:val="4CDE00AF"/>
    <w:rsid w:val="4D057A38"/>
    <w:rsid w:val="4D1325EB"/>
    <w:rsid w:val="4E7D44C8"/>
    <w:rsid w:val="50432CE0"/>
    <w:rsid w:val="513C32A2"/>
    <w:rsid w:val="51A74CD5"/>
    <w:rsid w:val="51E429F6"/>
    <w:rsid w:val="53C05B2A"/>
    <w:rsid w:val="54196D88"/>
    <w:rsid w:val="54511CA4"/>
    <w:rsid w:val="54860D24"/>
    <w:rsid w:val="55DF2F6C"/>
    <w:rsid w:val="55F11AB8"/>
    <w:rsid w:val="56D207CF"/>
    <w:rsid w:val="57471A16"/>
    <w:rsid w:val="579C5A43"/>
    <w:rsid w:val="58951448"/>
    <w:rsid w:val="594E2A1E"/>
    <w:rsid w:val="598B29DC"/>
    <w:rsid w:val="59A52149"/>
    <w:rsid w:val="59F526B3"/>
    <w:rsid w:val="59F85B3A"/>
    <w:rsid w:val="5A57018F"/>
    <w:rsid w:val="5A6B6F88"/>
    <w:rsid w:val="5A92646A"/>
    <w:rsid w:val="5AC23AEA"/>
    <w:rsid w:val="5AFF4E64"/>
    <w:rsid w:val="5B191E2E"/>
    <w:rsid w:val="5B303526"/>
    <w:rsid w:val="5B4A188C"/>
    <w:rsid w:val="5BE07CFB"/>
    <w:rsid w:val="5C0D06CB"/>
    <w:rsid w:val="5C9D704A"/>
    <w:rsid w:val="5F766BEE"/>
    <w:rsid w:val="5FBF2E62"/>
    <w:rsid w:val="60124323"/>
    <w:rsid w:val="60DB7D33"/>
    <w:rsid w:val="612809C5"/>
    <w:rsid w:val="61366B55"/>
    <w:rsid w:val="61BD0644"/>
    <w:rsid w:val="62222183"/>
    <w:rsid w:val="629768CC"/>
    <w:rsid w:val="62E0749F"/>
    <w:rsid w:val="62FA56C1"/>
    <w:rsid w:val="639F3A33"/>
    <w:rsid w:val="63F928C0"/>
    <w:rsid w:val="642544ED"/>
    <w:rsid w:val="6443475D"/>
    <w:rsid w:val="644B442B"/>
    <w:rsid w:val="64915692"/>
    <w:rsid w:val="65204958"/>
    <w:rsid w:val="65A52EEA"/>
    <w:rsid w:val="66600472"/>
    <w:rsid w:val="673B792E"/>
    <w:rsid w:val="6790438F"/>
    <w:rsid w:val="69613C1A"/>
    <w:rsid w:val="69AB71F2"/>
    <w:rsid w:val="69B62478"/>
    <w:rsid w:val="6A0A43EF"/>
    <w:rsid w:val="6AD121DA"/>
    <w:rsid w:val="6CE76162"/>
    <w:rsid w:val="6D0B0106"/>
    <w:rsid w:val="6D8B69F0"/>
    <w:rsid w:val="6D8F1C45"/>
    <w:rsid w:val="6E2039B2"/>
    <w:rsid w:val="6F2D22E6"/>
    <w:rsid w:val="6F57485B"/>
    <w:rsid w:val="704D13D3"/>
    <w:rsid w:val="709D2018"/>
    <w:rsid w:val="70B45B01"/>
    <w:rsid w:val="71962917"/>
    <w:rsid w:val="71D1766C"/>
    <w:rsid w:val="720E6617"/>
    <w:rsid w:val="73A66AA5"/>
    <w:rsid w:val="73F5165F"/>
    <w:rsid w:val="75AD0428"/>
    <w:rsid w:val="75F0206B"/>
    <w:rsid w:val="76AB730E"/>
    <w:rsid w:val="774E102E"/>
    <w:rsid w:val="79686799"/>
    <w:rsid w:val="79965C34"/>
    <w:rsid w:val="79D67D43"/>
    <w:rsid w:val="79F65C3E"/>
    <w:rsid w:val="7A104205"/>
    <w:rsid w:val="7A6F5431"/>
    <w:rsid w:val="7AB06E23"/>
    <w:rsid w:val="7AEC5457"/>
    <w:rsid w:val="7D1C5814"/>
    <w:rsid w:val="7D841C56"/>
    <w:rsid w:val="7FC81856"/>
    <w:rsid w:val="7FE24850"/>
    <w:rsid w:val="FFFB1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33"/>
    <w:qFormat/>
    <w:uiPriority w:val="9"/>
    <w:pPr>
      <w:keepNext/>
      <w:keepLines/>
      <w:spacing w:beforeLines="200" w:afterLines="200" w:line="360" w:lineRule="auto"/>
      <w:ind w:left="880"/>
      <w:jc w:val="center"/>
      <w:outlineLvl w:val="0"/>
    </w:pPr>
    <w:rPr>
      <w:rFonts w:eastAsia="方正小标宋简体"/>
      <w:bCs/>
      <w:kern w:val="44"/>
      <w:sz w:val="36"/>
      <w:szCs w:val="44"/>
    </w:rPr>
  </w:style>
  <w:style w:type="paragraph" w:styleId="5">
    <w:name w:val="heading 2"/>
    <w:basedOn w:val="1"/>
    <w:next w:val="1"/>
    <w:link w:val="34"/>
    <w:qFormat/>
    <w:uiPriority w:val="0"/>
    <w:pPr>
      <w:keepNext/>
      <w:keepLines/>
      <w:spacing w:beforeLines="100" w:afterLines="100" w:line="360" w:lineRule="auto"/>
      <w:ind w:firstLine="602"/>
      <w:jc w:val="center"/>
      <w:outlineLvl w:val="1"/>
    </w:pPr>
    <w:rPr>
      <w:rFonts w:hint="eastAsia" w:ascii="黑体" w:hAnsi="宋体" w:eastAsia="黑体"/>
      <w:bCs/>
      <w:kern w:val="0"/>
      <w:sz w:val="30"/>
      <w:szCs w:val="30"/>
    </w:rPr>
  </w:style>
  <w:style w:type="paragraph" w:styleId="6">
    <w:name w:val="heading 3"/>
    <w:basedOn w:val="1"/>
    <w:next w:val="1"/>
    <w:link w:val="35"/>
    <w:qFormat/>
    <w:uiPriority w:val="9"/>
    <w:pPr>
      <w:keepNext/>
      <w:keepLines/>
      <w:spacing w:beforeLines="50" w:afterLines="50" w:line="360" w:lineRule="auto"/>
      <w:ind w:firstLine="560" w:firstLineChars="200"/>
      <w:outlineLvl w:val="2"/>
    </w:pPr>
    <w:rPr>
      <w:rFonts w:ascii="黑体" w:hAnsi="黑体" w:eastAsia="黑体"/>
      <w:bCs/>
      <w:sz w:val="28"/>
      <w:szCs w:val="28"/>
    </w:rPr>
  </w:style>
  <w:style w:type="paragraph" w:styleId="7">
    <w:name w:val="heading 4"/>
    <w:basedOn w:val="1"/>
    <w:next w:val="1"/>
    <w:link w:val="36"/>
    <w:qFormat/>
    <w:uiPriority w:val="9"/>
    <w:pPr>
      <w:keepNext/>
      <w:keepLines/>
      <w:spacing w:before="280" w:after="290" w:line="376" w:lineRule="auto"/>
      <w:outlineLvl w:val="3"/>
    </w:pPr>
    <w:rPr>
      <w:rFonts w:ascii="等线 Light" w:hAnsi="等线 Light" w:eastAsia="等线 Light"/>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420"/>
    </w:pPr>
  </w:style>
  <w:style w:type="paragraph" w:styleId="3">
    <w:name w:val="Body Text Indent"/>
    <w:basedOn w:val="1"/>
    <w:qFormat/>
    <w:uiPriority w:val="0"/>
    <w:pPr>
      <w:spacing w:after="120"/>
      <w:ind w:left="420" w:leftChars="200"/>
    </w:pPr>
    <w:rPr>
      <w:rFonts w:ascii="Calibri" w:hAnsi="Calibri"/>
    </w:rPr>
  </w:style>
  <w:style w:type="paragraph" w:styleId="8">
    <w:name w:val="toc 7"/>
    <w:basedOn w:val="1"/>
    <w:next w:val="1"/>
    <w:unhideWhenUsed/>
    <w:qFormat/>
    <w:uiPriority w:val="39"/>
    <w:pPr>
      <w:ind w:left="2520" w:leftChars="1200"/>
    </w:pPr>
    <w:rPr>
      <w:rFonts w:ascii="等线" w:hAnsi="等线" w:eastAsia="等线"/>
    </w:rPr>
  </w:style>
  <w:style w:type="paragraph" w:styleId="9">
    <w:name w:val="Document Map"/>
    <w:basedOn w:val="1"/>
    <w:link w:val="37"/>
    <w:unhideWhenUsed/>
    <w:qFormat/>
    <w:uiPriority w:val="99"/>
    <w:rPr>
      <w:rFonts w:ascii="宋体"/>
      <w:kern w:val="0"/>
      <w:sz w:val="18"/>
      <w:szCs w:val="18"/>
    </w:rPr>
  </w:style>
  <w:style w:type="paragraph" w:styleId="10">
    <w:name w:val="annotation text"/>
    <w:basedOn w:val="1"/>
    <w:link w:val="38"/>
    <w:unhideWhenUsed/>
    <w:qFormat/>
    <w:uiPriority w:val="99"/>
    <w:pPr>
      <w:jc w:val="left"/>
    </w:pPr>
  </w:style>
  <w:style w:type="paragraph" w:styleId="11">
    <w:name w:val="Body Text"/>
    <w:basedOn w:val="1"/>
    <w:link w:val="39"/>
    <w:qFormat/>
    <w:uiPriority w:val="0"/>
    <w:pPr>
      <w:ind w:left="134"/>
      <w:jc w:val="left"/>
    </w:pPr>
    <w:rPr>
      <w:rFonts w:hint="eastAsia" w:ascii="宋体" w:hAnsi="宋体"/>
      <w:kern w:val="0"/>
      <w:sz w:val="33"/>
      <w:szCs w:val="33"/>
      <w:lang w:eastAsia="en-US"/>
    </w:rPr>
  </w:style>
  <w:style w:type="paragraph" w:styleId="12">
    <w:name w:val="toc 5"/>
    <w:basedOn w:val="1"/>
    <w:next w:val="1"/>
    <w:unhideWhenUsed/>
    <w:qFormat/>
    <w:uiPriority w:val="39"/>
    <w:pPr>
      <w:ind w:left="1680" w:leftChars="800"/>
    </w:pPr>
    <w:rPr>
      <w:rFonts w:ascii="等线" w:hAnsi="等线" w:eastAsia="等线"/>
    </w:rPr>
  </w:style>
  <w:style w:type="paragraph" w:styleId="13">
    <w:name w:val="toc 3"/>
    <w:basedOn w:val="1"/>
    <w:next w:val="1"/>
    <w:unhideWhenUsed/>
    <w:qFormat/>
    <w:uiPriority w:val="39"/>
    <w:pPr>
      <w:ind w:left="840" w:leftChars="400"/>
    </w:pPr>
    <w:rPr>
      <w:rFonts w:ascii="Calibri" w:hAnsi="Calibri"/>
    </w:rPr>
  </w:style>
  <w:style w:type="paragraph" w:styleId="14">
    <w:name w:val="toc 8"/>
    <w:basedOn w:val="1"/>
    <w:next w:val="1"/>
    <w:unhideWhenUsed/>
    <w:qFormat/>
    <w:uiPriority w:val="39"/>
    <w:pPr>
      <w:ind w:left="2940" w:leftChars="1400"/>
    </w:pPr>
    <w:rPr>
      <w:rFonts w:ascii="等线" w:hAnsi="等线" w:eastAsia="等线"/>
    </w:rPr>
  </w:style>
  <w:style w:type="paragraph" w:styleId="15">
    <w:name w:val="Date"/>
    <w:basedOn w:val="1"/>
    <w:next w:val="1"/>
    <w:link w:val="40"/>
    <w:unhideWhenUsed/>
    <w:qFormat/>
    <w:uiPriority w:val="99"/>
    <w:pPr>
      <w:ind w:left="100" w:leftChars="2500"/>
    </w:pPr>
  </w:style>
  <w:style w:type="paragraph" w:styleId="16">
    <w:name w:val="Balloon Text"/>
    <w:basedOn w:val="1"/>
    <w:link w:val="41"/>
    <w:unhideWhenUsed/>
    <w:qFormat/>
    <w:uiPriority w:val="99"/>
    <w:rPr>
      <w:kern w:val="0"/>
      <w:sz w:val="18"/>
      <w:szCs w:val="18"/>
    </w:rPr>
  </w:style>
  <w:style w:type="paragraph" w:styleId="17">
    <w:name w:val="footer"/>
    <w:basedOn w:val="1"/>
    <w:link w:val="42"/>
    <w:unhideWhenUsed/>
    <w:qFormat/>
    <w:uiPriority w:val="99"/>
    <w:pPr>
      <w:tabs>
        <w:tab w:val="center" w:pos="4153"/>
        <w:tab w:val="right" w:pos="8306"/>
      </w:tabs>
      <w:snapToGrid w:val="0"/>
      <w:ind w:firstLine="200" w:firstLineChars="200"/>
      <w:jc w:val="left"/>
    </w:pPr>
    <w:rPr>
      <w:rFonts w:eastAsia="仿宋"/>
      <w:kern w:val="0"/>
      <w:sz w:val="18"/>
      <w:szCs w:val="18"/>
    </w:rPr>
  </w:style>
  <w:style w:type="paragraph" w:styleId="18">
    <w:name w:val="header"/>
    <w:basedOn w:val="1"/>
    <w:link w:val="43"/>
    <w:unhideWhenUsed/>
    <w:qFormat/>
    <w:uiPriority w:val="99"/>
    <w:pPr>
      <w:pBdr>
        <w:bottom w:val="single" w:color="auto" w:sz="6" w:space="1"/>
      </w:pBdr>
      <w:tabs>
        <w:tab w:val="center" w:pos="4153"/>
        <w:tab w:val="right" w:pos="8306"/>
      </w:tabs>
      <w:snapToGrid w:val="0"/>
      <w:ind w:firstLine="200" w:firstLineChars="200"/>
      <w:jc w:val="center"/>
    </w:pPr>
    <w:rPr>
      <w:rFonts w:eastAsia="仿宋"/>
      <w:kern w:val="0"/>
      <w:sz w:val="18"/>
      <w:szCs w:val="18"/>
    </w:rPr>
  </w:style>
  <w:style w:type="paragraph" w:styleId="19">
    <w:name w:val="toc 1"/>
    <w:basedOn w:val="1"/>
    <w:next w:val="1"/>
    <w:unhideWhenUsed/>
    <w:qFormat/>
    <w:uiPriority w:val="39"/>
    <w:rPr>
      <w:rFonts w:eastAsia="黑体"/>
    </w:rPr>
  </w:style>
  <w:style w:type="paragraph" w:styleId="20">
    <w:name w:val="toc 4"/>
    <w:basedOn w:val="1"/>
    <w:next w:val="1"/>
    <w:unhideWhenUsed/>
    <w:qFormat/>
    <w:uiPriority w:val="39"/>
    <w:pPr>
      <w:ind w:left="1260" w:leftChars="600"/>
    </w:pPr>
    <w:rPr>
      <w:rFonts w:ascii="等线" w:hAnsi="等线" w:eastAsia="等线"/>
    </w:rPr>
  </w:style>
  <w:style w:type="paragraph" w:styleId="21">
    <w:name w:val="toc 6"/>
    <w:basedOn w:val="1"/>
    <w:next w:val="1"/>
    <w:unhideWhenUsed/>
    <w:qFormat/>
    <w:uiPriority w:val="39"/>
    <w:pPr>
      <w:ind w:left="2100" w:leftChars="1000"/>
    </w:pPr>
    <w:rPr>
      <w:rFonts w:ascii="等线" w:hAnsi="等线" w:eastAsia="等线"/>
    </w:rPr>
  </w:style>
  <w:style w:type="paragraph" w:styleId="22">
    <w:name w:val="toc 2"/>
    <w:basedOn w:val="1"/>
    <w:next w:val="1"/>
    <w:unhideWhenUsed/>
    <w:qFormat/>
    <w:uiPriority w:val="39"/>
    <w:pPr>
      <w:ind w:left="420" w:leftChars="200"/>
    </w:pPr>
  </w:style>
  <w:style w:type="paragraph" w:styleId="23">
    <w:name w:val="toc 9"/>
    <w:basedOn w:val="1"/>
    <w:next w:val="1"/>
    <w:unhideWhenUsed/>
    <w:qFormat/>
    <w:uiPriority w:val="39"/>
    <w:pPr>
      <w:ind w:left="3360" w:leftChars="1600"/>
    </w:pPr>
    <w:rPr>
      <w:rFonts w:ascii="等线" w:hAnsi="等线" w:eastAsia="等线"/>
    </w:rPr>
  </w:style>
  <w:style w:type="paragraph" w:styleId="24">
    <w:name w:val="Normal (Web)"/>
    <w:basedOn w:val="1"/>
    <w:qFormat/>
    <w:uiPriority w:val="99"/>
    <w:pPr>
      <w:spacing w:before="100" w:beforeAutospacing="1" w:after="100" w:afterAutospacing="1"/>
      <w:jc w:val="left"/>
    </w:pPr>
    <w:rPr>
      <w:rFonts w:ascii="Calibri" w:hAnsi="Calibri"/>
      <w:kern w:val="0"/>
      <w:sz w:val="24"/>
      <w:szCs w:val="24"/>
    </w:rPr>
  </w:style>
  <w:style w:type="paragraph" w:styleId="25">
    <w:name w:val="annotation subject"/>
    <w:basedOn w:val="10"/>
    <w:next w:val="10"/>
    <w:link w:val="44"/>
    <w:unhideWhenUsed/>
    <w:qFormat/>
    <w:uiPriority w:val="99"/>
    <w:rPr>
      <w:b/>
      <w:bCs/>
    </w:rPr>
  </w:style>
  <w:style w:type="table" w:styleId="27">
    <w:name w:val="Table Grid"/>
    <w:basedOn w:val="26"/>
    <w:unhideWhenUsed/>
    <w:qFormat/>
    <w:uiPriority w:val="5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rFonts w:eastAsia="宋体"/>
      <w:b/>
      <w:sz w:val="21"/>
      <w:szCs w:val="20"/>
    </w:rPr>
  </w:style>
  <w:style w:type="character" w:styleId="30">
    <w:name w:val="Emphasis"/>
    <w:qFormat/>
    <w:uiPriority w:val="20"/>
    <w:rPr>
      <w:i/>
      <w:iCs/>
    </w:rPr>
  </w:style>
  <w:style w:type="character" w:styleId="31">
    <w:name w:val="Hyperlink"/>
    <w:unhideWhenUsed/>
    <w:qFormat/>
    <w:uiPriority w:val="99"/>
    <w:rPr>
      <w:color w:val="0000FF"/>
      <w:u w:val="single"/>
    </w:rPr>
  </w:style>
  <w:style w:type="character" w:styleId="32">
    <w:name w:val="annotation reference"/>
    <w:unhideWhenUsed/>
    <w:qFormat/>
    <w:uiPriority w:val="99"/>
    <w:rPr>
      <w:sz w:val="21"/>
      <w:szCs w:val="21"/>
    </w:rPr>
  </w:style>
  <w:style w:type="character" w:customStyle="1" w:styleId="33">
    <w:name w:val="标题 1 字符2"/>
    <w:link w:val="4"/>
    <w:qFormat/>
    <w:uiPriority w:val="9"/>
    <w:rPr>
      <w:rFonts w:eastAsia="方正小标宋简体"/>
      <w:bCs/>
      <w:kern w:val="44"/>
      <w:sz w:val="36"/>
      <w:szCs w:val="44"/>
    </w:rPr>
  </w:style>
  <w:style w:type="character" w:customStyle="1" w:styleId="34">
    <w:name w:val="标题 2 字符3"/>
    <w:link w:val="5"/>
    <w:qFormat/>
    <w:uiPriority w:val="0"/>
    <w:rPr>
      <w:rFonts w:hint="eastAsia" w:ascii="黑体" w:hAnsi="宋体" w:eastAsia="黑体" w:cs="黑体"/>
      <w:bCs/>
      <w:sz w:val="30"/>
      <w:szCs w:val="30"/>
    </w:rPr>
  </w:style>
  <w:style w:type="character" w:customStyle="1" w:styleId="35">
    <w:name w:val="标题 3 字符1"/>
    <w:link w:val="6"/>
    <w:qFormat/>
    <w:uiPriority w:val="9"/>
    <w:rPr>
      <w:rFonts w:ascii="黑体" w:hAnsi="黑体" w:eastAsia="黑体"/>
      <w:bCs/>
      <w:kern w:val="2"/>
      <w:sz w:val="28"/>
      <w:szCs w:val="28"/>
    </w:rPr>
  </w:style>
  <w:style w:type="character" w:customStyle="1" w:styleId="36">
    <w:name w:val="标题 4 字符1"/>
    <w:link w:val="7"/>
    <w:semiHidden/>
    <w:qFormat/>
    <w:uiPriority w:val="9"/>
    <w:rPr>
      <w:rFonts w:ascii="等线 Light" w:hAnsi="等线 Light" w:eastAsia="等线 Light" w:cs="Times New Roman"/>
      <w:b/>
      <w:bCs/>
      <w:kern w:val="2"/>
      <w:sz w:val="28"/>
      <w:szCs w:val="28"/>
    </w:rPr>
  </w:style>
  <w:style w:type="character" w:customStyle="1" w:styleId="37">
    <w:name w:val="文档结构图 字符"/>
    <w:link w:val="9"/>
    <w:semiHidden/>
    <w:qFormat/>
    <w:uiPriority w:val="99"/>
    <w:rPr>
      <w:rFonts w:ascii="宋体" w:eastAsia="宋体"/>
      <w:sz w:val="18"/>
      <w:szCs w:val="18"/>
    </w:rPr>
  </w:style>
  <w:style w:type="character" w:customStyle="1" w:styleId="38">
    <w:name w:val="批注文字 字符"/>
    <w:link w:val="10"/>
    <w:semiHidden/>
    <w:qFormat/>
    <w:uiPriority w:val="99"/>
    <w:rPr>
      <w:kern w:val="2"/>
      <w:sz w:val="21"/>
      <w:szCs w:val="22"/>
    </w:rPr>
  </w:style>
  <w:style w:type="character" w:customStyle="1" w:styleId="39">
    <w:name w:val="正文文本 字符2"/>
    <w:link w:val="11"/>
    <w:qFormat/>
    <w:uiPriority w:val="0"/>
    <w:rPr>
      <w:rFonts w:hint="eastAsia" w:ascii="宋体" w:hAnsi="宋体" w:eastAsia="宋体" w:cs="宋体"/>
      <w:sz w:val="33"/>
      <w:szCs w:val="33"/>
      <w:lang w:eastAsia="en-US"/>
    </w:rPr>
  </w:style>
  <w:style w:type="character" w:customStyle="1" w:styleId="40">
    <w:name w:val="日期 字符"/>
    <w:link w:val="15"/>
    <w:semiHidden/>
    <w:qFormat/>
    <w:uiPriority w:val="99"/>
    <w:rPr>
      <w:kern w:val="2"/>
      <w:sz w:val="21"/>
      <w:szCs w:val="22"/>
    </w:rPr>
  </w:style>
  <w:style w:type="character" w:customStyle="1" w:styleId="41">
    <w:name w:val="批注框文本 字符"/>
    <w:link w:val="16"/>
    <w:semiHidden/>
    <w:qFormat/>
    <w:uiPriority w:val="99"/>
    <w:rPr>
      <w:sz w:val="18"/>
      <w:szCs w:val="18"/>
    </w:rPr>
  </w:style>
  <w:style w:type="character" w:customStyle="1" w:styleId="42">
    <w:name w:val="页脚 字符1"/>
    <w:link w:val="17"/>
    <w:qFormat/>
    <w:uiPriority w:val="99"/>
    <w:rPr>
      <w:rFonts w:eastAsia="仿宋"/>
      <w:sz w:val="18"/>
      <w:szCs w:val="18"/>
    </w:rPr>
  </w:style>
  <w:style w:type="character" w:customStyle="1" w:styleId="43">
    <w:name w:val="页眉 字符1"/>
    <w:link w:val="18"/>
    <w:qFormat/>
    <w:uiPriority w:val="99"/>
    <w:rPr>
      <w:rFonts w:eastAsia="仿宋"/>
      <w:sz w:val="18"/>
      <w:szCs w:val="18"/>
    </w:rPr>
  </w:style>
  <w:style w:type="character" w:customStyle="1" w:styleId="44">
    <w:name w:val="批注主题 字符"/>
    <w:link w:val="25"/>
    <w:semiHidden/>
    <w:qFormat/>
    <w:uiPriority w:val="99"/>
    <w:rPr>
      <w:b/>
      <w:bCs/>
      <w:kern w:val="2"/>
      <w:sz w:val="21"/>
      <w:szCs w:val="22"/>
    </w:rPr>
  </w:style>
  <w:style w:type="character" w:customStyle="1" w:styleId="45">
    <w:name w:val="标题 2 字符"/>
    <w:qFormat/>
    <w:uiPriority w:val="9"/>
    <w:rPr>
      <w:rFonts w:ascii="Cambria" w:hAnsi="Cambria" w:eastAsia="楷体" w:cs="Times New Roman"/>
      <w:b/>
      <w:bCs/>
      <w:kern w:val="0"/>
      <w:sz w:val="28"/>
      <w:szCs w:val="32"/>
    </w:rPr>
  </w:style>
  <w:style w:type="character" w:customStyle="1" w:styleId="46">
    <w:name w:val="页脚 Char1"/>
    <w:qFormat/>
    <w:uiPriority w:val="99"/>
    <w:rPr>
      <w:rFonts w:eastAsia="仿宋"/>
      <w:sz w:val="18"/>
      <w:szCs w:val="18"/>
    </w:rPr>
  </w:style>
  <w:style w:type="character" w:customStyle="1" w:styleId="47">
    <w:name w:val="页眉 Char1"/>
    <w:qFormat/>
    <w:uiPriority w:val="99"/>
    <w:rPr>
      <w:rFonts w:eastAsia="仿宋"/>
      <w:sz w:val="18"/>
      <w:szCs w:val="18"/>
    </w:rPr>
  </w:style>
  <w:style w:type="character" w:customStyle="1" w:styleId="48">
    <w:name w:val="正文文本 字符"/>
    <w:qFormat/>
    <w:uiPriority w:val="1"/>
    <w:rPr>
      <w:rFonts w:ascii="宋体" w:hAnsi="宋体" w:eastAsia="宋体"/>
      <w:kern w:val="0"/>
      <w:sz w:val="33"/>
      <w:szCs w:val="33"/>
      <w:lang w:eastAsia="en-US"/>
    </w:rPr>
  </w:style>
  <w:style w:type="character" w:customStyle="1" w:styleId="49">
    <w:name w:val="标题 2 Char1"/>
    <w:qFormat/>
    <w:uiPriority w:val="0"/>
    <w:rPr>
      <w:rFonts w:hint="eastAsia" w:ascii="黑体" w:hAnsi="宋体" w:eastAsia="黑体" w:cs="黑体"/>
      <w:bCs/>
      <w:sz w:val="30"/>
      <w:szCs w:val="30"/>
    </w:rPr>
  </w:style>
  <w:style w:type="character" w:customStyle="1" w:styleId="50">
    <w:name w:val="页眉 字符"/>
    <w:qFormat/>
    <w:uiPriority w:val="99"/>
    <w:rPr>
      <w:sz w:val="18"/>
      <w:szCs w:val="18"/>
    </w:rPr>
  </w:style>
  <w:style w:type="character" w:customStyle="1" w:styleId="51">
    <w:name w:val="15"/>
    <w:qFormat/>
    <w:uiPriority w:val="0"/>
    <w:rPr>
      <w:rFonts w:hint="default" w:ascii="Calibri" w:hAnsi="Calibri" w:eastAsia="宋体" w:cs="Times New Roman"/>
      <w:kern w:val="2"/>
      <w:sz w:val="21"/>
      <w:szCs w:val="21"/>
    </w:rPr>
  </w:style>
  <w:style w:type="character" w:customStyle="1" w:styleId="52">
    <w:name w:val="页脚 字符"/>
    <w:qFormat/>
    <w:uiPriority w:val="99"/>
    <w:rPr>
      <w:sz w:val="18"/>
      <w:szCs w:val="18"/>
    </w:rPr>
  </w:style>
  <w:style w:type="character" w:customStyle="1" w:styleId="53">
    <w:name w:val="标题 2 字符1"/>
    <w:qFormat/>
    <w:uiPriority w:val="9"/>
    <w:rPr>
      <w:rFonts w:ascii="Cambria" w:hAnsi="Cambria" w:eastAsia="楷体" w:cs="Times New Roman"/>
      <w:b/>
      <w:bCs/>
      <w:kern w:val="0"/>
      <w:sz w:val="28"/>
      <w:szCs w:val="32"/>
    </w:rPr>
  </w:style>
  <w:style w:type="character" w:customStyle="1" w:styleId="54">
    <w:name w:val="正文文本 字符1"/>
    <w:qFormat/>
    <w:uiPriority w:val="1"/>
    <w:rPr>
      <w:rFonts w:ascii="宋体" w:hAnsi="宋体" w:eastAsia="宋体"/>
      <w:kern w:val="0"/>
      <w:sz w:val="33"/>
      <w:szCs w:val="33"/>
      <w:lang w:eastAsia="en-US"/>
    </w:rPr>
  </w:style>
  <w:style w:type="character" w:customStyle="1" w:styleId="55">
    <w:name w:val="标题 2 Char"/>
    <w:semiHidden/>
    <w:qFormat/>
    <w:uiPriority w:val="9"/>
    <w:rPr>
      <w:rFonts w:ascii="Cambria" w:hAnsi="Cambria" w:eastAsia="宋体" w:cs="Times New Roman"/>
      <w:b/>
      <w:bCs/>
      <w:sz w:val="32"/>
      <w:szCs w:val="32"/>
    </w:rPr>
  </w:style>
  <w:style w:type="character" w:customStyle="1" w:styleId="56">
    <w:name w:val="标题 2 字符2"/>
    <w:qFormat/>
    <w:uiPriority w:val="9"/>
    <w:rPr>
      <w:rFonts w:ascii="黑体" w:hAnsi="黑体" w:eastAsia="黑体" w:cs="宋体"/>
      <w:bCs/>
      <w:sz w:val="30"/>
      <w:szCs w:val="30"/>
    </w:rPr>
  </w:style>
  <w:style w:type="character" w:customStyle="1" w:styleId="57">
    <w:name w:val="标题 4 字符"/>
    <w:semiHidden/>
    <w:qFormat/>
    <w:uiPriority w:val="9"/>
    <w:rPr>
      <w:rFonts w:ascii="等线 Light" w:hAnsi="等线 Light" w:eastAsia="等线 Light" w:cs="Times New Roman"/>
      <w:b/>
      <w:bCs/>
      <w:kern w:val="2"/>
      <w:sz w:val="28"/>
      <w:szCs w:val="28"/>
    </w:rPr>
  </w:style>
  <w:style w:type="character" w:customStyle="1" w:styleId="58">
    <w:name w:val="标题 3 字符"/>
    <w:qFormat/>
    <w:uiPriority w:val="9"/>
    <w:rPr>
      <w:b/>
      <w:bCs/>
      <w:kern w:val="2"/>
      <w:sz w:val="32"/>
      <w:szCs w:val="32"/>
    </w:rPr>
  </w:style>
  <w:style w:type="character" w:customStyle="1" w:styleId="59">
    <w:name w:val="标题 1 字符"/>
    <w:qFormat/>
    <w:uiPriority w:val="9"/>
    <w:rPr>
      <w:rFonts w:ascii="Calibri" w:hAnsi="Calibri" w:eastAsia="宋体" w:cs="Times New Roman"/>
      <w:b/>
      <w:bCs/>
      <w:kern w:val="44"/>
      <w:sz w:val="44"/>
      <w:szCs w:val="44"/>
    </w:rPr>
  </w:style>
  <w:style w:type="character" w:customStyle="1" w:styleId="60">
    <w:name w:val="NormalCharacter"/>
    <w:semiHidden/>
    <w:qFormat/>
    <w:uiPriority w:val="0"/>
    <w:rPr>
      <w:rFonts w:ascii="Calibri" w:hAnsi="Calibri" w:eastAsia="宋体" w:cs="Times New Roman"/>
      <w:kern w:val="2"/>
      <w:sz w:val="21"/>
      <w:szCs w:val="24"/>
      <w:lang w:val="en-US" w:eastAsia="zh-CN" w:bidi="ar-SA"/>
    </w:rPr>
  </w:style>
  <w:style w:type="character" w:customStyle="1" w:styleId="61">
    <w:name w:val="标题 1 字符1"/>
    <w:qFormat/>
    <w:uiPriority w:val="9"/>
    <w:rPr>
      <w:rFonts w:ascii="Calibri" w:hAnsi="Calibri" w:eastAsia="宋体" w:cs="Times New Roman"/>
      <w:b/>
      <w:bCs/>
      <w:kern w:val="44"/>
      <w:sz w:val="44"/>
      <w:szCs w:val="44"/>
    </w:rPr>
  </w:style>
  <w:style w:type="paragraph" w:customStyle="1" w:styleId="62">
    <w:name w:val="标题 21"/>
    <w:basedOn w:val="1"/>
    <w:qFormat/>
    <w:uiPriority w:val="1"/>
    <w:pPr>
      <w:spacing w:before="47"/>
      <w:ind w:left="129"/>
      <w:jc w:val="left"/>
      <w:outlineLvl w:val="2"/>
    </w:pPr>
    <w:rPr>
      <w:rFonts w:ascii="宋体" w:hAnsi="宋体"/>
      <w:kern w:val="0"/>
      <w:sz w:val="36"/>
      <w:szCs w:val="36"/>
      <w:lang w:eastAsia="en-US"/>
    </w:rPr>
  </w:style>
  <w:style w:type="paragraph" w:customStyle="1" w:styleId="63">
    <w:name w:val="_Style 60"/>
    <w:basedOn w:val="4"/>
    <w:next w:val="1"/>
    <w:qFormat/>
    <w:uiPriority w:val="39"/>
    <w:pPr>
      <w:widowControl/>
      <w:spacing w:beforeLines="0" w:afterLines="0" w:line="259" w:lineRule="auto"/>
      <w:ind w:left="0"/>
      <w:jc w:val="left"/>
      <w:outlineLvl w:val="9"/>
    </w:pPr>
    <w:rPr>
      <w:rFonts w:ascii="等线 Light" w:hAnsi="等线 Light" w:eastAsia="等线 Light"/>
      <w:bCs w:val="0"/>
      <w:color w:val="2F5496"/>
      <w:kern w:val="0"/>
      <w:sz w:val="32"/>
      <w:szCs w:val="32"/>
    </w:rPr>
  </w:style>
  <w:style w:type="paragraph" w:styleId="64">
    <w:name w:val="List Paragraph"/>
    <w:basedOn w:val="1"/>
    <w:qFormat/>
    <w:uiPriority w:val="34"/>
    <w:pPr>
      <w:ind w:firstLine="420" w:firstLineChars="200"/>
    </w:pPr>
  </w:style>
  <w:style w:type="paragraph" w:customStyle="1" w:styleId="65">
    <w:name w:val="标题 41"/>
    <w:basedOn w:val="1"/>
    <w:qFormat/>
    <w:uiPriority w:val="1"/>
    <w:pPr>
      <w:ind w:left="1576"/>
      <w:jc w:val="left"/>
      <w:outlineLvl w:val="4"/>
    </w:pPr>
    <w:rPr>
      <w:rFonts w:ascii="宋体" w:hAnsi="宋体"/>
      <w:kern w:val="0"/>
      <w:sz w:val="34"/>
      <w:szCs w:val="34"/>
      <w:lang w:eastAsia="en-US"/>
    </w:rPr>
  </w:style>
  <w:style w:type="paragraph" w:customStyle="1" w:styleId="66">
    <w:name w:val="_Style 63"/>
    <w:unhideWhenUsed/>
    <w:qFormat/>
    <w:uiPriority w:val="99"/>
    <w:rPr>
      <w:rFonts w:ascii="Times New Roman" w:hAnsi="Times New Roman" w:eastAsia="宋体" w:cs="Times New Roman"/>
      <w:kern w:val="2"/>
      <w:sz w:val="21"/>
      <w:szCs w:val="22"/>
      <w:lang w:val="en-US" w:eastAsia="zh-CN" w:bidi="ar-SA"/>
    </w:rPr>
  </w:style>
  <w:style w:type="paragraph" w:customStyle="1" w:styleId="67">
    <w:name w:val="标题 11"/>
    <w:basedOn w:val="1"/>
    <w:qFormat/>
    <w:uiPriority w:val="1"/>
    <w:pPr>
      <w:ind w:left="819"/>
      <w:jc w:val="left"/>
      <w:outlineLvl w:val="1"/>
    </w:pPr>
    <w:rPr>
      <w:rFonts w:ascii="宋体" w:hAnsi="宋体"/>
      <w:kern w:val="0"/>
      <w:sz w:val="43"/>
      <w:szCs w:val="43"/>
      <w:lang w:eastAsia="en-US"/>
    </w:rPr>
  </w:style>
  <w:style w:type="paragraph" w:customStyle="1" w:styleId="68">
    <w:name w:val="TOC 标题1"/>
    <w:basedOn w:val="4"/>
    <w:next w:val="1"/>
    <w:unhideWhenUsed/>
    <w:qFormat/>
    <w:uiPriority w:val="39"/>
    <w:pPr>
      <w:widowControl/>
      <w:spacing w:before="480" w:line="276" w:lineRule="auto"/>
      <w:jc w:val="left"/>
      <w:outlineLvl w:val="9"/>
    </w:pPr>
    <w:rPr>
      <w:rFonts w:ascii="Cambria" w:hAnsi="Cambria" w:eastAsia="宋体"/>
      <w:color w:val="365F91"/>
      <w:kern w:val="0"/>
      <w:sz w:val="28"/>
      <w:szCs w:val="28"/>
    </w:rPr>
  </w:style>
  <w:style w:type="paragraph" w:customStyle="1" w:styleId="69">
    <w:name w:val="标题 31"/>
    <w:basedOn w:val="1"/>
    <w:qFormat/>
    <w:uiPriority w:val="1"/>
    <w:pPr>
      <w:ind w:left="2100"/>
      <w:jc w:val="left"/>
      <w:outlineLvl w:val="3"/>
    </w:pPr>
    <w:rPr>
      <w:rFonts w:ascii="宋体" w:hAnsi="宋体"/>
      <w:kern w:val="0"/>
      <w:sz w:val="35"/>
      <w:szCs w:val="35"/>
      <w:lang w:eastAsia="en-US"/>
    </w:rPr>
  </w:style>
  <w:style w:type="table" w:customStyle="1" w:styleId="70">
    <w:name w:val="网格型1"/>
    <w:basedOn w:val="26"/>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
    <w:name w:val="网格型2"/>
    <w:basedOn w:val="2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2">
    <w:name w:val="修订1"/>
    <w:hidden/>
    <w:semiHidden/>
    <w:qFormat/>
    <w:uiPriority w:val="99"/>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73</Pages>
  <Words>37616</Words>
  <Characters>38041</Characters>
  <Lines>291</Lines>
  <Paragraphs>82</Paragraphs>
  <TotalTime>0</TotalTime>
  <ScaleCrop>false</ScaleCrop>
  <LinksUpToDate>false</LinksUpToDate>
  <CharactersWithSpaces>38183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2022-03-20T17:27:00Z</dcterms:created>
  <dc:creator>Administrator</dc:creator>
  <cp:lastModifiedBy>顺水</cp:lastModifiedBy>
  <cp:lastPrinted>2022-05-11T11:55:00Z</cp:lastPrinted>
  <dcterms:modified xsi:type="dcterms:W3CDTF">2022-05-13T02:54:03Z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6B4E342029D441F0B505ABB7CAE959DF</vt:lpwstr>
  </property>
  <property fmtid="{D5CDD505-2E9C-101B-9397-08002B2CF9AE}" pid="4" name="_DocHome">
    <vt:i4>1674937929</vt:i4>
  </property>
</Properties>
</file>